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C77A" w14:textId="77777777" w:rsidR="005E21AF" w:rsidRPr="006D4670" w:rsidRDefault="005E21AF" w:rsidP="00EF53C8">
      <w:pPr>
        <w:rPr>
          <w:rFonts w:ascii="Calibri" w:hAnsi="Calibri"/>
          <w:sz w:val="22"/>
          <w:szCs w:val="22"/>
          <w:lang w:val="fr-CA"/>
        </w:rPr>
      </w:pP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</w:r>
      <w:r w:rsidRPr="006D4670">
        <w:rPr>
          <w:rFonts w:ascii="Calibri" w:hAnsi="Calibri"/>
          <w:sz w:val="22"/>
          <w:szCs w:val="22"/>
          <w:lang w:val="fr-CA"/>
        </w:rPr>
        <w:tab/>
        <w:t>Date</w:t>
      </w:r>
      <w:r w:rsidR="00ED0FAA" w:rsidRPr="006D4670">
        <w:rPr>
          <w:rFonts w:ascii="Calibri" w:hAnsi="Calibri"/>
          <w:sz w:val="22"/>
          <w:szCs w:val="22"/>
          <w:lang w:val="fr-CA"/>
        </w:rPr>
        <w:t xml:space="preserve"> </w:t>
      </w:r>
      <w:proofErr w:type="gramStart"/>
      <w:r w:rsidRPr="006D4670">
        <w:rPr>
          <w:rFonts w:ascii="Calibri" w:hAnsi="Calibri"/>
          <w:sz w:val="22"/>
          <w:szCs w:val="22"/>
          <w:lang w:val="fr-CA"/>
        </w:rPr>
        <w:t>:_</w:t>
      </w:r>
      <w:proofErr w:type="gramEnd"/>
      <w:r w:rsidRPr="006D4670">
        <w:rPr>
          <w:rFonts w:ascii="Calibri" w:hAnsi="Calibri"/>
          <w:sz w:val="22"/>
          <w:szCs w:val="22"/>
          <w:lang w:val="fr-CA"/>
        </w:rPr>
        <w:t>___________________</w:t>
      </w:r>
    </w:p>
    <w:p w14:paraId="61C36823" w14:textId="71B45D62" w:rsidR="005E21AF" w:rsidRPr="006D4670" w:rsidRDefault="005F5C4A" w:rsidP="00EF53C8">
      <w:pPr>
        <w:rPr>
          <w:rFonts w:ascii="Calibri" w:hAnsi="Calibri"/>
          <w:sz w:val="22"/>
          <w:szCs w:val="22"/>
          <w:lang w:val="fr-CA"/>
        </w:rPr>
      </w:pPr>
      <w:r w:rsidRPr="006D467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5D0F3" wp14:editId="23ADBB78">
                <wp:simplePos x="0" y="0"/>
                <wp:positionH relativeFrom="column">
                  <wp:posOffset>-650240</wp:posOffset>
                </wp:positionH>
                <wp:positionV relativeFrom="paragraph">
                  <wp:posOffset>-704850</wp:posOffset>
                </wp:positionV>
                <wp:extent cx="2377440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A6220" w14:textId="77777777" w:rsidR="006A5215" w:rsidRDefault="006A521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2pt;margin-top:-55.5pt;width:187.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" stroked="f">
                <v:textbox style="mso-fit-shape-to-text:t">
                  <w:txbxContent>
                    <w:p w:rsidR="005E21AF" w:rsidRDefault="005E21AF"/>
                  </w:txbxContent>
                </v:textbox>
              </v:shape>
            </w:pict>
          </mc:Fallback>
        </mc:AlternateContent>
      </w:r>
      <w:r w:rsidR="005E21AF" w:rsidRPr="006D4670">
        <w:rPr>
          <w:rFonts w:ascii="Calibri" w:hAnsi="Calibri"/>
          <w:sz w:val="22"/>
          <w:szCs w:val="22"/>
          <w:lang w:val="fr-CA"/>
        </w:rPr>
        <w:t>D</w:t>
      </w:r>
      <w:r w:rsidR="00ED0FAA" w:rsidRPr="006D4670">
        <w:rPr>
          <w:rFonts w:ascii="Calibri" w:hAnsi="Calibri"/>
          <w:sz w:val="22"/>
          <w:szCs w:val="22"/>
          <w:lang w:val="fr-CA"/>
        </w:rPr>
        <w:t>octeur (ou Docteur</w:t>
      </w:r>
      <w:r w:rsidR="00FC170D">
        <w:rPr>
          <w:rFonts w:ascii="Calibri" w:hAnsi="Calibri"/>
          <w:sz w:val="22"/>
          <w:szCs w:val="22"/>
          <w:lang w:val="fr-CA"/>
        </w:rPr>
        <w:t>e</w:t>
      </w:r>
      <w:r w:rsidR="00ED0FAA" w:rsidRPr="006D4670">
        <w:rPr>
          <w:rFonts w:ascii="Calibri" w:hAnsi="Calibri"/>
          <w:sz w:val="22"/>
          <w:szCs w:val="22"/>
          <w:lang w:val="fr-CA"/>
        </w:rPr>
        <w:t xml:space="preserve">) </w:t>
      </w:r>
      <w:r w:rsidR="005E21AF" w:rsidRPr="006D4670">
        <w:rPr>
          <w:rFonts w:ascii="Calibri" w:hAnsi="Calibri"/>
          <w:sz w:val="22"/>
          <w:szCs w:val="22"/>
          <w:lang w:val="fr-CA"/>
        </w:rPr>
        <w:t>__________________________</w:t>
      </w:r>
      <w:r w:rsidR="00ED0FAA" w:rsidRPr="006D4670">
        <w:rPr>
          <w:rFonts w:ascii="Calibri" w:hAnsi="Calibri"/>
          <w:sz w:val="22"/>
          <w:szCs w:val="22"/>
          <w:lang w:val="fr-CA"/>
        </w:rPr>
        <w:t>,</w:t>
      </w:r>
    </w:p>
    <w:p w14:paraId="207EF83C" w14:textId="77777777" w:rsidR="005E21AF" w:rsidRPr="006D4670" w:rsidRDefault="005E21AF" w:rsidP="005855B5">
      <w:pPr>
        <w:rPr>
          <w:rFonts w:ascii="Calibri" w:hAnsi="Calibri"/>
          <w:sz w:val="16"/>
          <w:szCs w:val="16"/>
          <w:lang w:val="fr-CA"/>
        </w:rPr>
      </w:pPr>
    </w:p>
    <w:p w14:paraId="4205D064" w14:textId="4A2AF6AE" w:rsidR="005E21AF" w:rsidRPr="006D4670" w:rsidRDefault="00ED0FAA" w:rsidP="005855B5">
      <w:pPr>
        <w:rPr>
          <w:rFonts w:ascii="Calibri" w:hAnsi="Calibri"/>
          <w:sz w:val="22"/>
          <w:szCs w:val="22"/>
          <w:lang w:val="fr-CA"/>
        </w:rPr>
      </w:pPr>
      <w:r w:rsidRPr="006D4670">
        <w:rPr>
          <w:rFonts w:ascii="Calibri" w:hAnsi="Calibri"/>
          <w:sz w:val="22"/>
          <w:szCs w:val="22"/>
          <w:lang w:val="fr-CA"/>
        </w:rPr>
        <w:t xml:space="preserve">Votre </w:t>
      </w:r>
      <w:r w:rsidR="00025596" w:rsidRPr="006D4670">
        <w:rPr>
          <w:rFonts w:ascii="Calibri" w:hAnsi="Calibri"/>
          <w:sz w:val="22"/>
          <w:szCs w:val="22"/>
          <w:lang w:val="fr-CA"/>
        </w:rPr>
        <w:t xml:space="preserve">patient </w:t>
      </w:r>
      <w:r w:rsidRPr="006D4670">
        <w:rPr>
          <w:rFonts w:ascii="Calibri" w:hAnsi="Calibri"/>
          <w:sz w:val="22"/>
          <w:szCs w:val="22"/>
          <w:lang w:val="fr-CA"/>
        </w:rPr>
        <w:t xml:space="preserve">a été vu dans le cadre du programme de service de liaison pour fractures </w:t>
      </w:r>
      <w:r w:rsidR="00CA3EFE">
        <w:rPr>
          <w:rFonts w:ascii="Calibri" w:hAnsi="Calibri"/>
          <w:sz w:val="22"/>
          <w:szCs w:val="22"/>
          <w:lang w:val="fr-CA"/>
        </w:rPr>
        <w:t xml:space="preserve">parce qu’il a subi </w:t>
      </w:r>
      <w:r w:rsidRPr="006D4670">
        <w:rPr>
          <w:rFonts w:ascii="Calibri" w:hAnsi="Calibri"/>
          <w:sz w:val="22"/>
          <w:szCs w:val="22"/>
          <w:lang w:val="fr-CA"/>
        </w:rPr>
        <w:t>une fracture fémorale causée par une simple chute ou un traumatisme mineur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. </w:t>
      </w:r>
      <w:r w:rsidRPr="006D4670">
        <w:rPr>
          <w:rFonts w:ascii="Calibri" w:hAnsi="Calibri"/>
          <w:sz w:val="22"/>
          <w:szCs w:val="22"/>
          <w:lang w:val="fr-CA"/>
        </w:rPr>
        <w:t xml:space="preserve">À la suite d’examens </w:t>
      </w:r>
      <w:proofErr w:type="gramStart"/>
      <w:r w:rsidRPr="006D4670">
        <w:rPr>
          <w:rFonts w:ascii="Calibri" w:hAnsi="Calibri"/>
          <w:sz w:val="22"/>
          <w:szCs w:val="22"/>
          <w:lang w:val="fr-CA"/>
        </w:rPr>
        <w:t>plus</w:t>
      </w:r>
      <w:proofErr w:type="gramEnd"/>
      <w:r w:rsidRPr="006D4670">
        <w:rPr>
          <w:rFonts w:ascii="Calibri" w:hAnsi="Calibri"/>
          <w:sz w:val="22"/>
          <w:szCs w:val="22"/>
          <w:lang w:val="fr-CA"/>
        </w:rPr>
        <w:t xml:space="preserve"> poussés, il s’est avéré qu’il s’agissait d’une 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fracture </w:t>
      </w:r>
      <w:r w:rsidRPr="006D4670">
        <w:rPr>
          <w:rFonts w:ascii="Calibri" w:hAnsi="Calibri"/>
          <w:sz w:val="22"/>
          <w:szCs w:val="22"/>
          <w:lang w:val="fr-CA"/>
        </w:rPr>
        <w:t xml:space="preserve">de la diaphyse </w:t>
      </w:r>
      <w:r w:rsidR="00CA3EFE">
        <w:rPr>
          <w:rFonts w:ascii="Calibri" w:hAnsi="Calibri"/>
          <w:sz w:val="22"/>
          <w:szCs w:val="22"/>
          <w:lang w:val="fr-CA"/>
        </w:rPr>
        <w:t>fémorale</w:t>
      </w:r>
      <w:r w:rsidR="00CA3EFE" w:rsidRPr="006D4670">
        <w:rPr>
          <w:rFonts w:ascii="Calibri" w:hAnsi="Calibri"/>
          <w:sz w:val="22"/>
          <w:szCs w:val="22"/>
          <w:lang w:val="fr-CA"/>
        </w:rPr>
        <w:t>/</w:t>
      </w:r>
      <w:r w:rsidRPr="006D4670">
        <w:rPr>
          <w:rFonts w:ascii="Calibri" w:hAnsi="Calibri"/>
          <w:sz w:val="22"/>
          <w:szCs w:val="22"/>
          <w:lang w:val="fr-CA"/>
        </w:rPr>
        <w:t>sous-</w:t>
      </w:r>
      <w:r w:rsidR="005E21AF" w:rsidRPr="006D4670">
        <w:rPr>
          <w:rFonts w:ascii="Calibri" w:hAnsi="Calibri"/>
          <w:sz w:val="22"/>
          <w:szCs w:val="22"/>
          <w:lang w:val="fr-CA"/>
        </w:rPr>
        <w:t>trochant</w:t>
      </w:r>
      <w:r w:rsidRPr="006D4670">
        <w:rPr>
          <w:rFonts w:ascii="Calibri" w:hAnsi="Calibri"/>
          <w:sz w:val="22"/>
          <w:szCs w:val="22"/>
          <w:lang w:val="fr-CA"/>
        </w:rPr>
        <w:t>érienne</w:t>
      </w:r>
      <w:r w:rsidR="00CA3EFE">
        <w:rPr>
          <w:rFonts w:ascii="Calibri" w:hAnsi="Calibri"/>
          <w:sz w:val="22"/>
          <w:szCs w:val="22"/>
          <w:lang w:val="fr-CA"/>
        </w:rPr>
        <w:t xml:space="preserve"> </w:t>
      </w:r>
      <w:r w:rsidRPr="006D4670">
        <w:rPr>
          <w:rFonts w:ascii="Calibri" w:hAnsi="Calibri"/>
          <w:sz w:val="22"/>
          <w:szCs w:val="22"/>
          <w:lang w:val="fr-CA"/>
        </w:rPr>
        <w:t xml:space="preserve">qui ne </w:t>
      </w:r>
      <w:r w:rsidRPr="00B45945">
        <w:rPr>
          <w:rFonts w:ascii="Calibri" w:hAnsi="Calibri"/>
          <w:sz w:val="22"/>
          <w:szCs w:val="22"/>
          <w:lang w:val="fr-CA"/>
        </w:rPr>
        <w:t>s’inscrit pas dans la portée</w:t>
      </w:r>
      <w:r w:rsidRPr="006D4670">
        <w:rPr>
          <w:rFonts w:ascii="Calibri" w:hAnsi="Calibri"/>
          <w:sz w:val="22"/>
          <w:szCs w:val="22"/>
          <w:lang w:val="fr-CA"/>
        </w:rPr>
        <w:t xml:space="preserve"> de notre programme</w:t>
      </w:r>
      <w:r w:rsidR="001D491F">
        <w:rPr>
          <w:rFonts w:ascii="Calibri" w:hAnsi="Calibri"/>
          <w:sz w:val="22"/>
          <w:szCs w:val="22"/>
          <w:lang w:val="fr-CA"/>
        </w:rPr>
        <w:t xml:space="preserve">. </w:t>
      </w:r>
      <w:r w:rsidR="00CF61D1">
        <w:rPr>
          <w:rFonts w:ascii="Calibri" w:hAnsi="Calibri"/>
          <w:sz w:val="22"/>
          <w:szCs w:val="22"/>
          <w:lang w:val="fr-CA"/>
        </w:rPr>
        <w:t>L’évaluation d’une telle</w:t>
      </w:r>
      <w:r w:rsidRPr="006D4670">
        <w:rPr>
          <w:rFonts w:ascii="Calibri" w:hAnsi="Calibri"/>
          <w:sz w:val="22"/>
          <w:szCs w:val="22"/>
          <w:lang w:val="fr-CA"/>
        </w:rPr>
        <w:t xml:space="preserve"> fracture </w:t>
      </w:r>
      <w:r w:rsidR="00CF61D1">
        <w:rPr>
          <w:rFonts w:ascii="Calibri" w:hAnsi="Calibri"/>
          <w:sz w:val="22"/>
          <w:szCs w:val="22"/>
          <w:lang w:val="fr-CA"/>
        </w:rPr>
        <w:t xml:space="preserve">étant </w:t>
      </w:r>
      <w:r w:rsidRPr="006D4670">
        <w:rPr>
          <w:rFonts w:ascii="Calibri" w:hAnsi="Calibri"/>
          <w:sz w:val="22"/>
          <w:szCs w:val="22"/>
          <w:lang w:val="fr-CA"/>
        </w:rPr>
        <w:t xml:space="preserve">complexe, nous avons référé </w:t>
      </w:r>
      <w:r w:rsidR="00FC170D">
        <w:rPr>
          <w:rFonts w:ascii="Calibri" w:hAnsi="Calibri"/>
          <w:sz w:val="22"/>
          <w:szCs w:val="22"/>
          <w:lang w:val="fr-CA"/>
        </w:rPr>
        <w:t>votre patient au</w:t>
      </w:r>
      <w:r w:rsidR="0096427F">
        <w:rPr>
          <w:rFonts w:ascii="Calibri" w:hAnsi="Calibri"/>
          <w:sz w:val="22"/>
          <w:szCs w:val="22"/>
          <w:lang w:val="fr-CA"/>
        </w:rPr>
        <w:t xml:space="preserve"> </w:t>
      </w:r>
      <w:r w:rsidRPr="006D4670">
        <w:rPr>
          <w:rFonts w:ascii="Calibri" w:hAnsi="Calibri"/>
          <w:sz w:val="22"/>
          <w:szCs w:val="22"/>
          <w:lang w:val="fr-CA"/>
        </w:rPr>
        <w:t>(à la) D</w:t>
      </w:r>
      <w:r w:rsidRPr="00FC170D">
        <w:rPr>
          <w:rFonts w:ascii="Calibri" w:hAnsi="Calibri"/>
          <w:sz w:val="22"/>
          <w:szCs w:val="22"/>
          <w:vertAlign w:val="superscript"/>
          <w:lang w:val="fr-CA"/>
        </w:rPr>
        <w:t>r(e)</w:t>
      </w:r>
      <w:r w:rsidR="00101F29" w:rsidRPr="006D4670">
        <w:rPr>
          <w:rFonts w:ascii="Calibri" w:hAnsi="Calibri"/>
          <w:sz w:val="22"/>
          <w:szCs w:val="22"/>
          <w:lang w:val="fr-CA"/>
        </w:rPr>
        <w:t xml:space="preserve"> _________ (</w:t>
      </w:r>
      <w:r w:rsidRPr="006D4670">
        <w:rPr>
          <w:rFonts w:ascii="Calibri" w:hAnsi="Calibri"/>
          <w:sz w:val="22"/>
          <w:szCs w:val="22"/>
          <w:lang w:val="fr-CA"/>
        </w:rPr>
        <w:t>spécialiste local de l’</w:t>
      </w:r>
      <w:r w:rsidR="00101F29" w:rsidRPr="006D4670">
        <w:rPr>
          <w:rFonts w:ascii="Calibri" w:hAnsi="Calibri"/>
          <w:sz w:val="22"/>
          <w:szCs w:val="22"/>
          <w:lang w:val="fr-CA"/>
        </w:rPr>
        <w:t>os</w:t>
      </w:r>
      <w:r w:rsidRPr="006D4670">
        <w:rPr>
          <w:rFonts w:ascii="Calibri" w:hAnsi="Calibri"/>
          <w:sz w:val="22"/>
          <w:szCs w:val="22"/>
          <w:lang w:val="fr-CA"/>
        </w:rPr>
        <w:t>té</w:t>
      </w:r>
      <w:r w:rsidR="00101F29" w:rsidRPr="006D4670">
        <w:rPr>
          <w:rFonts w:ascii="Calibri" w:hAnsi="Calibri"/>
          <w:sz w:val="22"/>
          <w:szCs w:val="22"/>
          <w:lang w:val="fr-CA"/>
        </w:rPr>
        <w:t>oporos</w:t>
      </w:r>
      <w:r w:rsidRPr="006D4670">
        <w:rPr>
          <w:rFonts w:ascii="Calibri" w:hAnsi="Calibri"/>
          <w:sz w:val="22"/>
          <w:szCs w:val="22"/>
          <w:lang w:val="fr-CA"/>
        </w:rPr>
        <w:t>e</w:t>
      </w:r>
      <w:r w:rsidR="00101F29" w:rsidRPr="006D4670">
        <w:rPr>
          <w:rFonts w:ascii="Calibri" w:hAnsi="Calibri"/>
          <w:sz w:val="22"/>
          <w:szCs w:val="22"/>
          <w:lang w:val="fr-CA"/>
        </w:rPr>
        <w:t>).</w:t>
      </w:r>
    </w:p>
    <w:p w14:paraId="741867D0" w14:textId="77777777" w:rsidR="005E21AF" w:rsidRPr="006D4670" w:rsidRDefault="005E21AF" w:rsidP="005855B5">
      <w:pPr>
        <w:rPr>
          <w:rFonts w:ascii="Calibri" w:hAnsi="Calibri"/>
          <w:b/>
          <w:sz w:val="16"/>
          <w:szCs w:val="16"/>
          <w:lang w:val="fr-CA"/>
        </w:rPr>
      </w:pPr>
    </w:p>
    <w:p w14:paraId="67538E72" w14:textId="5DDC72EB" w:rsidR="005E21AF" w:rsidRPr="006D4670" w:rsidRDefault="006D4670" w:rsidP="005855B5">
      <w:pPr>
        <w:rPr>
          <w:rFonts w:ascii="Calibri" w:hAnsi="Calibri"/>
          <w:sz w:val="22"/>
          <w:szCs w:val="22"/>
          <w:lang w:val="fr-CA"/>
        </w:rPr>
      </w:pPr>
      <w:r w:rsidRPr="006D4670">
        <w:rPr>
          <w:rFonts w:ascii="Calibri" w:hAnsi="Calibri"/>
          <w:sz w:val="22"/>
          <w:szCs w:val="22"/>
          <w:lang w:val="fr-CA"/>
        </w:rPr>
        <w:t>Les renseignements ci-dessous ont été tirés des travaux de l’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American Society of </w:t>
      </w:r>
      <w:proofErr w:type="spellStart"/>
      <w:r w:rsidR="005E21AF" w:rsidRPr="006D4670">
        <w:rPr>
          <w:rFonts w:ascii="Calibri" w:hAnsi="Calibri"/>
          <w:sz w:val="22"/>
          <w:szCs w:val="22"/>
          <w:lang w:val="fr-CA"/>
        </w:rPr>
        <w:t>Bone</w:t>
      </w:r>
      <w:proofErr w:type="spellEnd"/>
      <w:r w:rsidR="005E21AF" w:rsidRPr="006D4670">
        <w:rPr>
          <w:rFonts w:ascii="Calibri" w:hAnsi="Calibri"/>
          <w:sz w:val="22"/>
          <w:szCs w:val="22"/>
          <w:lang w:val="fr-CA"/>
        </w:rPr>
        <w:t xml:space="preserve"> and </w:t>
      </w:r>
      <w:proofErr w:type="spellStart"/>
      <w:r w:rsidR="005E21AF" w:rsidRPr="006D4670">
        <w:rPr>
          <w:rFonts w:ascii="Calibri" w:hAnsi="Calibri"/>
          <w:sz w:val="22"/>
          <w:szCs w:val="22"/>
          <w:lang w:val="fr-CA"/>
        </w:rPr>
        <w:t>Mineral</w:t>
      </w:r>
      <w:proofErr w:type="spellEnd"/>
      <w:r w:rsidR="005E21AF" w:rsidRPr="006D4670">
        <w:rPr>
          <w:rFonts w:ascii="Calibri" w:hAnsi="Calibri"/>
          <w:sz w:val="22"/>
          <w:szCs w:val="22"/>
          <w:lang w:val="fr-CA"/>
        </w:rPr>
        <w:t xml:space="preserve"> Research </w:t>
      </w:r>
      <w:proofErr w:type="spellStart"/>
      <w:r w:rsidR="005E21AF" w:rsidRPr="006D4670">
        <w:rPr>
          <w:rFonts w:ascii="Calibri" w:hAnsi="Calibri"/>
          <w:sz w:val="22"/>
          <w:szCs w:val="22"/>
          <w:lang w:val="fr-CA"/>
        </w:rPr>
        <w:t>Task</w:t>
      </w:r>
      <w:proofErr w:type="spellEnd"/>
      <w:r w:rsidR="005E21AF" w:rsidRPr="006D4670">
        <w:rPr>
          <w:rFonts w:ascii="Calibri" w:hAnsi="Calibri"/>
          <w:sz w:val="22"/>
          <w:szCs w:val="22"/>
          <w:lang w:val="fr-CA"/>
        </w:rPr>
        <w:t xml:space="preserve"> Force on </w:t>
      </w:r>
      <w:proofErr w:type="spellStart"/>
      <w:r w:rsidR="005E21AF" w:rsidRPr="006D4670">
        <w:rPr>
          <w:rFonts w:ascii="Calibri" w:hAnsi="Calibri"/>
          <w:sz w:val="22"/>
          <w:szCs w:val="22"/>
          <w:lang w:val="fr-CA"/>
        </w:rPr>
        <w:t>Atypical</w:t>
      </w:r>
      <w:proofErr w:type="spellEnd"/>
      <w:r w:rsidR="005E21AF" w:rsidRPr="006D4670">
        <w:rPr>
          <w:rFonts w:ascii="Calibri" w:hAnsi="Calibri"/>
          <w:sz w:val="22"/>
          <w:szCs w:val="22"/>
          <w:lang w:val="fr-CA"/>
        </w:rPr>
        <w:t xml:space="preserve"> </w:t>
      </w:r>
      <w:proofErr w:type="spellStart"/>
      <w:r w:rsidR="005E21AF" w:rsidRPr="006D4670">
        <w:rPr>
          <w:rFonts w:ascii="Calibri" w:hAnsi="Calibri"/>
          <w:sz w:val="22"/>
          <w:szCs w:val="22"/>
          <w:lang w:val="fr-CA"/>
        </w:rPr>
        <w:t>Femoral</w:t>
      </w:r>
      <w:proofErr w:type="spellEnd"/>
      <w:r w:rsidR="005E21AF" w:rsidRPr="006D4670">
        <w:rPr>
          <w:rFonts w:ascii="Calibri" w:hAnsi="Calibri"/>
          <w:sz w:val="22"/>
          <w:szCs w:val="22"/>
          <w:lang w:val="fr-CA"/>
        </w:rPr>
        <w:t xml:space="preserve"> Fractures </w:t>
      </w:r>
      <w:r w:rsidRPr="006D4670">
        <w:rPr>
          <w:rFonts w:ascii="Calibri" w:hAnsi="Calibri"/>
          <w:sz w:val="22"/>
          <w:szCs w:val="22"/>
          <w:lang w:val="fr-CA"/>
        </w:rPr>
        <w:t>et vous sont fournis à titre indicatif.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 </w:t>
      </w:r>
    </w:p>
    <w:p w14:paraId="0B8C9D3C" w14:textId="77777777" w:rsidR="005E21AF" w:rsidRPr="006D4670" w:rsidRDefault="005E21AF" w:rsidP="005855B5">
      <w:pPr>
        <w:rPr>
          <w:rFonts w:ascii="Calibri" w:hAnsi="Calibri"/>
          <w:sz w:val="16"/>
          <w:szCs w:val="16"/>
          <w:lang w:val="fr-CA"/>
        </w:rPr>
      </w:pPr>
    </w:p>
    <w:p w14:paraId="2C78B6E7" w14:textId="292268F9" w:rsidR="005E21AF" w:rsidRPr="006D4670" w:rsidRDefault="006D4670" w:rsidP="005855B5">
      <w:pPr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Il existe deux 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types </w:t>
      </w:r>
      <w:r>
        <w:rPr>
          <w:rFonts w:ascii="Calibri" w:hAnsi="Calibri"/>
          <w:sz w:val="22"/>
          <w:szCs w:val="22"/>
          <w:lang w:val="fr-CA"/>
        </w:rPr>
        <w:t>de fractures de fragilisation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 xml:space="preserve">de la diaphyse </w:t>
      </w:r>
      <w:r w:rsidR="00CA3EFE">
        <w:rPr>
          <w:rFonts w:ascii="Calibri" w:hAnsi="Calibri"/>
          <w:sz w:val="22"/>
          <w:szCs w:val="22"/>
          <w:lang w:val="fr-CA"/>
        </w:rPr>
        <w:t>fé</w:t>
      </w:r>
      <w:r w:rsidR="00CA3EFE" w:rsidRPr="006D4670">
        <w:rPr>
          <w:rFonts w:ascii="Calibri" w:hAnsi="Calibri"/>
          <w:sz w:val="22"/>
          <w:szCs w:val="22"/>
          <w:lang w:val="fr-CA"/>
        </w:rPr>
        <w:t>moral</w:t>
      </w:r>
      <w:r w:rsidR="00CA3EFE">
        <w:rPr>
          <w:rFonts w:ascii="Calibri" w:hAnsi="Calibri"/>
          <w:sz w:val="22"/>
          <w:szCs w:val="22"/>
          <w:lang w:val="fr-CA"/>
        </w:rPr>
        <w:t>e/</w:t>
      </w:r>
      <w:r w:rsidR="005E21AF" w:rsidRPr="006D4670">
        <w:rPr>
          <w:rFonts w:ascii="Calibri" w:hAnsi="Calibri"/>
          <w:sz w:val="22"/>
          <w:szCs w:val="22"/>
          <w:lang w:val="fr-CA"/>
        </w:rPr>
        <w:t>s</w:t>
      </w:r>
      <w:r>
        <w:rPr>
          <w:rFonts w:ascii="Calibri" w:hAnsi="Calibri"/>
          <w:sz w:val="22"/>
          <w:szCs w:val="22"/>
          <w:lang w:val="fr-CA"/>
        </w:rPr>
        <w:t>ous-</w:t>
      </w:r>
      <w:r w:rsidR="005E21AF" w:rsidRPr="006D4670">
        <w:rPr>
          <w:rFonts w:ascii="Calibri" w:hAnsi="Calibri"/>
          <w:sz w:val="22"/>
          <w:szCs w:val="22"/>
          <w:lang w:val="fr-CA"/>
        </w:rPr>
        <w:t>trochant</w:t>
      </w:r>
      <w:r>
        <w:rPr>
          <w:rFonts w:ascii="Calibri" w:hAnsi="Calibri"/>
          <w:sz w:val="22"/>
          <w:szCs w:val="22"/>
          <w:lang w:val="fr-CA"/>
        </w:rPr>
        <w:t>érienne</w:t>
      </w:r>
      <w:r w:rsidR="00CA3EFE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 xml:space="preserve">: les fractures </w:t>
      </w:r>
      <w:r w:rsidR="00954EE9">
        <w:rPr>
          <w:rFonts w:ascii="Calibri" w:hAnsi="Calibri"/>
          <w:sz w:val="22"/>
          <w:szCs w:val="22"/>
          <w:lang w:val="fr-CA"/>
        </w:rPr>
        <w:t>typiques liées à l’ostéoporose et les fractures atypiques</w:t>
      </w:r>
      <w:r w:rsidR="00DA36AF" w:rsidRPr="00DA36AF">
        <w:rPr>
          <w:rFonts w:ascii="Calibri" w:hAnsi="Calibri"/>
          <w:sz w:val="22"/>
          <w:szCs w:val="22"/>
          <w:lang w:val="fr-CA"/>
        </w:rPr>
        <w:t xml:space="preserve"> </w:t>
      </w:r>
      <w:r w:rsidR="00DA36AF">
        <w:rPr>
          <w:rFonts w:ascii="Calibri" w:hAnsi="Calibri"/>
          <w:sz w:val="22"/>
          <w:szCs w:val="22"/>
          <w:lang w:val="fr-CA"/>
        </w:rPr>
        <w:t>du fémur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. </w:t>
      </w:r>
      <w:r w:rsidR="00954EE9">
        <w:rPr>
          <w:rFonts w:ascii="Calibri" w:hAnsi="Calibri"/>
          <w:sz w:val="22"/>
          <w:szCs w:val="22"/>
          <w:lang w:val="fr-CA"/>
        </w:rPr>
        <w:t>Les caractéristiques suivantes peuvent vous aider à distinguer les deux</w:t>
      </w:r>
      <w:r w:rsidR="005E21AF" w:rsidRPr="006D4670">
        <w:rPr>
          <w:rFonts w:ascii="Calibri" w:hAnsi="Calibri"/>
          <w:sz w:val="22"/>
          <w:szCs w:val="22"/>
          <w:lang w:val="fr-CA"/>
        </w:rPr>
        <w:t>.</w:t>
      </w:r>
    </w:p>
    <w:p w14:paraId="2E0D86EC" w14:textId="77777777" w:rsidR="005E21AF" w:rsidRPr="006D4670" w:rsidRDefault="005E21AF" w:rsidP="005855B5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3251"/>
        <w:gridCol w:w="4774"/>
      </w:tblGrid>
      <w:tr w:rsidR="005E21AF" w:rsidRPr="006D4670" w14:paraId="59860D05" w14:textId="77777777" w:rsidTr="007D50CA">
        <w:tc>
          <w:tcPr>
            <w:tcW w:w="1527" w:type="dxa"/>
            <w:shd w:val="clear" w:color="auto" w:fill="FBD4B4"/>
          </w:tcPr>
          <w:p w14:paraId="57FDDEC1" w14:textId="77777777" w:rsidR="005E21AF" w:rsidRPr="006D4670" w:rsidRDefault="005E21AF" w:rsidP="005855B5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259" w:type="dxa"/>
            <w:shd w:val="clear" w:color="auto" w:fill="FBD4B4"/>
          </w:tcPr>
          <w:p w14:paraId="415775D8" w14:textId="3F726F9A" w:rsidR="005E21AF" w:rsidRPr="006D4670" w:rsidRDefault="00954EE9" w:rsidP="006A5215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F</w:t>
            </w:r>
            <w:r w:rsidR="005E21AF" w:rsidRPr="006D4670">
              <w:rPr>
                <w:rFonts w:ascii="Calibri" w:hAnsi="Calibri"/>
                <w:b/>
                <w:sz w:val="22"/>
                <w:szCs w:val="22"/>
                <w:lang w:val="fr-CA"/>
              </w:rPr>
              <w:t>racture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</w:t>
            </w:r>
            <w:r w:rsidR="006A5215">
              <w:rPr>
                <w:rFonts w:ascii="Calibri" w:hAnsi="Calibri"/>
                <w:b/>
                <w:sz w:val="22"/>
                <w:szCs w:val="22"/>
                <w:lang w:val="fr-CA"/>
              </w:rPr>
              <w:t>classique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liée à l’ostéoporose</w:t>
            </w:r>
          </w:p>
        </w:tc>
        <w:tc>
          <w:tcPr>
            <w:tcW w:w="4790" w:type="dxa"/>
            <w:shd w:val="clear" w:color="auto" w:fill="FBD4B4"/>
          </w:tcPr>
          <w:p w14:paraId="5350B03E" w14:textId="57D91162" w:rsidR="005E21AF" w:rsidRPr="006D4670" w:rsidRDefault="00954EE9" w:rsidP="00DA36AF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Fracture atypique</w:t>
            </w:r>
            <w:r w:rsidR="00DA36AF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du fémur </w:t>
            </w:r>
          </w:p>
        </w:tc>
      </w:tr>
      <w:tr w:rsidR="005E21AF" w:rsidRPr="006D4670" w14:paraId="1189E777" w14:textId="77777777" w:rsidTr="007D50CA">
        <w:tc>
          <w:tcPr>
            <w:tcW w:w="1527" w:type="dxa"/>
          </w:tcPr>
          <w:p w14:paraId="06AE5222" w14:textId="262B9C28" w:rsidR="005E21AF" w:rsidRPr="006D4670" w:rsidRDefault="00954EE9" w:rsidP="005855B5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Fréquence</w:t>
            </w:r>
          </w:p>
        </w:tc>
        <w:tc>
          <w:tcPr>
            <w:tcW w:w="3259" w:type="dxa"/>
          </w:tcPr>
          <w:p w14:paraId="6891A99B" w14:textId="62E1FB9B" w:rsidR="005E21AF" w:rsidRPr="004A5288" w:rsidRDefault="00CD1FD5" w:rsidP="006A5215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Relativement rare </w:t>
            </w:r>
            <w:r w:rsidR="009448EA">
              <w:rPr>
                <w:rFonts w:ascii="Calibri" w:hAnsi="Calibri"/>
                <w:sz w:val="18"/>
                <w:szCs w:val="18"/>
                <w:lang w:val="fr-CA"/>
              </w:rPr>
              <w:t xml:space="preserve">: 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10</w:t>
            </w:r>
            <w:r w:rsidR="0083191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% </w:t>
            </w:r>
            <w:r w:rsidR="0083191F" w:rsidRPr="004A5288">
              <w:rPr>
                <w:rFonts w:ascii="Calibri" w:hAnsi="Calibri"/>
                <w:sz w:val="18"/>
                <w:szCs w:val="18"/>
                <w:lang w:val="fr-CA"/>
              </w:rPr>
              <w:t>de toutes les fractures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6A5215" w:rsidRPr="004A5288">
              <w:rPr>
                <w:rFonts w:ascii="Calibri" w:hAnsi="Calibri"/>
                <w:sz w:val="18"/>
                <w:szCs w:val="18"/>
                <w:lang w:val="fr-CA"/>
              </w:rPr>
              <w:t>du fémur.</w:t>
            </w:r>
          </w:p>
        </w:tc>
        <w:tc>
          <w:tcPr>
            <w:tcW w:w="4790" w:type="dxa"/>
          </w:tcPr>
          <w:p w14:paraId="3724958C" w14:textId="147D76CF" w:rsidR="005E21AF" w:rsidRPr="004A5288" w:rsidRDefault="005E21AF" w:rsidP="00CA3EFE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Rare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: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moins de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1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% 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>de toutes les fractures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6A5215" w:rsidRPr="004A5288">
              <w:rPr>
                <w:rFonts w:ascii="Calibri" w:hAnsi="Calibri"/>
                <w:sz w:val="18"/>
                <w:szCs w:val="18"/>
                <w:lang w:val="fr-CA"/>
              </w:rPr>
              <w:t>du fémur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. 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Seuls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25</w:t>
            </w:r>
            <w:r w:rsidR="00BC6DB6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% 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des fractures de la diaphyse </w:t>
            </w:r>
            <w:r w:rsidR="00CA3EFE" w:rsidRPr="004A5288">
              <w:rPr>
                <w:rFonts w:ascii="Calibri" w:hAnsi="Calibri"/>
                <w:sz w:val="18"/>
                <w:szCs w:val="18"/>
                <w:lang w:val="fr-CA"/>
              </w:rPr>
              <w:t>fémorale/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>sous-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trochant</w:t>
            </w:r>
            <w:r w:rsidR="00CA3EFE" w:rsidRPr="004A5288">
              <w:rPr>
                <w:rFonts w:ascii="Calibri" w:hAnsi="Calibri"/>
                <w:sz w:val="18"/>
                <w:szCs w:val="18"/>
                <w:lang w:val="fr-CA"/>
              </w:rPr>
              <w:t>érienne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>sont des fractures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CD1FD5" w:rsidRPr="004A5288">
              <w:rPr>
                <w:rFonts w:ascii="Calibri" w:hAnsi="Calibri"/>
                <w:sz w:val="18"/>
                <w:szCs w:val="18"/>
                <w:lang w:val="fr-CA"/>
              </w:rPr>
              <w:t>atypiques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.</w:t>
            </w:r>
          </w:p>
        </w:tc>
      </w:tr>
      <w:tr w:rsidR="005E21AF" w:rsidRPr="006D4670" w14:paraId="6053F2AB" w14:textId="77777777" w:rsidTr="007D50CA">
        <w:tc>
          <w:tcPr>
            <w:tcW w:w="1527" w:type="dxa"/>
          </w:tcPr>
          <w:p w14:paraId="72817E45" w14:textId="77777777" w:rsidR="005E21AF" w:rsidRPr="006D4670" w:rsidRDefault="005E21AF" w:rsidP="005855B5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6D4670">
              <w:rPr>
                <w:rFonts w:ascii="Calibri" w:hAnsi="Calibri"/>
                <w:sz w:val="22"/>
                <w:szCs w:val="22"/>
                <w:lang w:val="fr-CA"/>
              </w:rPr>
              <w:t>Cause</w:t>
            </w:r>
          </w:p>
        </w:tc>
        <w:tc>
          <w:tcPr>
            <w:tcW w:w="3259" w:type="dxa"/>
          </w:tcPr>
          <w:p w14:paraId="6CD60630" w14:textId="752D9616" w:rsidR="005E21AF" w:rsidRPr="004A5288" w:rsidRDefault="0083191F" w:rsidP="00040454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Dans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70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à 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90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%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des cas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,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elle est </w:t>
            </w:r>
            <w:r w:rsidR="00040454">
              <w:rPr>
                <w:rFonts w:ascii="Calibri" w:hAnsi="Calibri"/>
                <w:sz w:val="18"/>
                <w:szCs w:val="18"/>
                <w:lang w:val="fr-CA"/>
              </w:rPr>
              <w:t>due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à une ostéoporose non diagnostiquée ou non traitée.</w:t>
            </w:r>
            <w:r w:rsidR="00CA3EFE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Une minorité de patients aura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reçu un traitement contre l’ostéoporose 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(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le cas échéant, il peut s’agir d’une indication de l’échec du traitement ou de l’échec relatif du traitement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).</w:t>
            </w:r>
          </w:p>
        </w:tc>
        <w:tc>
          <w:tcPr>
            <w:tcW w:w="4790" w:type="dxa"/>
          </w:tcPr>
          <w:p w14:paraId="5B9A1C60" w14:textId="75CB0716" w:rsidR="007505CB" w:rsidRPr="004A5288" w:rsidRDefault="007505CB" w:rsidP="007505CB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90 % auront pris des médicaments contre l’ostéoporose. Les fractures atypiques du fémur sont associées à la prise de </w:t>
            </w:r>
            <w:proofErr w:type="spellStart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bisphosphonates</w:t>
            </w:r>
            <w:proofErr w:type="spellEnd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et </w:t>
            </w:r>
            <w:r w:rsidR="006A5215" w:rsidRPr="004A5288">
              <w:rPr>
                <w:rFonts w:ascii="Calibri" w:hAnsi="Calibri"/>
                <w:sz w:val="18"/>
                <w:szCs w:val="18"/>
                <w:lang w:val="fr-CA"/>
              </w:rPr>
              <w:t>de</w:t>
            </w:r>
            <w:r w:rsidR="009448EA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dénosumab</w:t>
            </w:r>
            <w:proofErr w:type="spellEnd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, habituellement à la suite d’une exposition prolongée (plus de 5 ans).</w:t>
            </w:r>
          </w:p>
          <w:p w14:paraId="69B859A5" w14:textId="48EF4E8B" w:rsidR="005E21AF" w:rsidRPr="004A5288" w:rsidRDefault="005E21AF" w:rsidP="00406B4A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</w:p>
        </w:tc>
      </w:tr>
      <w:tr w:rsidR="005E21AF" w:rsidRPr="006D4670" w14:paraId="2F6CDEB0" w14:textId="77777777" w:rsidTr="007D50CA">
        <w:tc>
          <w:tcPr>
            <w:tcW w:w="1527" w:type="dxa"/>
          </w:tcPr>
          <w:p w14:paraId="0F918143" w14:textId="79CECC63" w:rsidR="005E21AF" w:rsidRPr="006D4670" w:rsidRDefault="00954EE9" w:rsidP="00954EE9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Symptômes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prodromaux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59" w:type="dxa"/>
          </w:tcPr>
          <w:p w14:paraId="5C189379" w14:textId="0C62DF71" w:rsidR="005E21AF" w:rsidRPr="004A5288" w:rsidRDefault="00403AFB" w:rsidP="00670873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Aucune douleur </w:t>
            </w:r>
            <w:proofErr w:type="spellStart"/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prodromal</w:t>
            </w:r>
            <w:r w:rsidR="00670873" w:rsidRPr="004A5288">
              <w:rPr>
                <w:rFonts w:ascii="Calibri" w:hAnsi="Calibri"/>
                <w:sz w:val="18"/>
                <w:szCs w:val="18"/>
                <w:lang w:val="fr-CA"/>
              </w:rPr>
              <w:t>e</w:t>
            </w:r>
            <w:proofErr w:type="spellEnd"/>
            <w:r w:rsidR="00670873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aux jambes ou à l’aine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. </w:t>
            </w:r>
            <w:r w:rsidR="006A5215" w:rsidRPr="004A5288">
              <w:rPr>
                <w:rFonts w:ascii="Calibri" w:hAnsi="Calibri"/>
                <w:sz w:val="18"/>
                <w:szCs w:val="18"/>
                <w:lang w:val="fr-CA"/>
              </w:rPr>
              <w:t>On peut les confondre avec d</w:t>
            </w:r>
            <w:r w:rsidR="00670873" w:rsidRPr="004A5288">
              <w:rPr>
                <w:rFonts w:ascii="Calibri" w:hAnsi="Calibri"/>
                <w:sz w:val="18"/>
                <w:szCs w:val="18"/>
                <w:lang w:val="fr-CA"/>
              </w:rPr>
              <w:t>es douleurs arthritiques communes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.</w:t>
            </w:r>
          </w:p>
        </w:tc>
        <w:tc>
          <w:tcPr>
            <w:tcW w:w="4790" w:type="dxa"/>
          </w:tcPr>
          <w:p w14:paraId="6131757A" w14:textId="384CAECE" w:rsidR="00401DCC" w:rsidRPr="004A5288" w:rsidRDefault="00670873" w:rsidP="00401DC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70 % auront rapporté une douleur </w:t>
            </w:r>
            <w:proofErr w:type="spellStart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prodromale</w:t>
            </w:r>
            <w:proofErr w:type="spellEnd"/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à la cuisse ou à l’aine (des semaines ou des mois avant la fracture).</w:t>
            </w:r>
          </w:p>
          <w:p w14:paraId="35DE6246" w14:textId="503B8CDD" w:rsidR="005E21AF" w:rsidRPr="004A5288" w:rsidRDefault="005E21AF" w:rsidP="005855B5">
            <w:pPr>
              <w:rPr>
                <w:rFonts w:ascii="Calibri" w:hAnsi="Calibri"/>
                <w:sz w:val="18"/>
                <w:szCs w:val="18"/>
                <w:lang w:val="fr-CA"/>
              </w:rPr>
            </w:pPr>
          </w:p>
        </w:tc>
      </w:tr>
      <w:tr w:rsidR="005E21AF" w:rsidRPr="006D4670" w14:paraId="04AA4765" w14:textId="77777777" w:rsidTr="007D50CA">
        <w:tc>
          <w:tcPr>
            <w:tcW w:w="1527" w:type="dxa"/>
          </w:tcPr>
          <w:p w14:paraId="7EA7D5CF" w14:textId="715FD63A" w:rsidR="005E21AF" w:rsidRPr="006D4670" w:rsidRDefault="0083191F" w:rsidP="0083191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Mécanisme de blessure</w:t>
            </w:r>
          </w:p>
        </w:tc>
        <w:tc>
          <w:tcPr>
            <w:tcW w:w="3259" w:type="dxa"/>
          </w:tcPr>
          <w:p w14:paraId="07C2582B" w14:textId="715CFFB8" w:rsidR="005E21AF" w:rsidRPr="004A5288" w:rsidRDefault="00401DCC" w:rsidP="00401DC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Une chute entraînant la fracture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(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l’os se casse au contact du sol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).</w:t>
            </w:r>
          </w:p>
        </w:tc>
        <w:tc>
          <w:tcPr>
            <w:tcW w:w="4790" w:type="dxa"/>
          </w:tcPr>
          <w:p w14:paraId="45BD27BD" w14:textId="26A0BA21" w:rsidR="005E21AF" w:rsidRPr="004A5288" w:rsidRDefault="00401DCC" w:rsidP="00977952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Trauma mineur ou aucun trauma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.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Le patient peut expliquer que </w:t>
            </w:r>
            <w:r w:rsidRPr="00776044">
              <w:rPr>
                <w:rFonts w:ascii="Calibri" w:hAnsi="Calibri"/>
                <w:sz w:val="18"/>
                <w:szCs w:val="18"/>
                <w:lang w:val="fr-CA"/>
              </w:rPr>
              <w:t>sa jambe a lâché ou que l’os a claqué ou cassé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AVANT que la chute ne se produise.</w:t>
            </w:r>
          </w:p>
        </w:tc>
      </w:tr>
      <w:tr w:rsidR="005E21AF" w:rsidRPr="006D4670" w14:paraId="17855DF1" w14:textId="77777777" w:rsidTr="007D50CA">
        <w:tc>
          <w:tcPr>
            <w:tcW w:w="1527" w:type="dxa"/>
          </w:tcPr>
          <w:p w14:paraId="138196FB" w14:textId="3865E2DB" w:rsidR="005E21AF" w:rsidRPr="006D4670" w:rsidRDefault="00977952" w:rsidP="00977952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Résultats de radiographie</w:t>
            </w:r>
          </w:p>
        </w:tc>
        <w:tc>
          <w:tcPr>
            <w:tcW w:w="3259" w:type="dxa"/>
          </w:tcPr>
          <w:p w14:paraId="6D89D1E1" w14:textId="30214834" w:rsidR="005E21AF" w:rsidRPr="004A5288" w:rsidRDefault="00977952" w:rsidP="00977952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Comminutive ou en spirale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.</w:t>
            </w:r>
          </w:p>
        </w:tc>
        <w:tc>
          <w:tcPr>
            <w:tcW w:w="4790" w:type="dxa"/>
          </w:tcPr>
          <w:p w14:paraId="5B459581" w14:textId="31EA2A25" w:rsidR="005E21AF" w:rsidRPr="004A5288" w:rsidRDefault="00977952" w:rsidP="0033673C">
            <w:pPr>
              <w:rPr>
                <w:rFonts w:ascii="Calibri" w:hAnsi="Calibri"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N</w:t>
            </w:r>
            <w:r w:rsidR="00092618">
              <w:rPr>
                <w:rFonts w:ascii="Calibri" w:hAnsi="Calibri"/>
                <w:sz w:val="18"/>
                <w:szCs w:val="18"/>
                <w:lang w:val="fr-CA"/>
              </w:rPr>
              <w:t xml:space="preserve">on 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>comminutive.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</w:t>
            </w:r>
            <w:r w:rsidR="0033673C" w:rsidRPr="004A5288">
              <w:rPr>
                <w:rFonts w:ascii="Calibri" w:hAnsi="Calibri"/>
                <w:sz w:val="18"/>
                <w:szCs w:val="18"/>
                <w:lang w:val="fr-CA"/>
              </w:rPr>
              <w:t>Configuration</w:t>
            </w:r>
            <w:r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 transverse ou oblique courte</w:t>
            </w:r>
            <w:r w:rsidR="0033673C" w:rsidRPr="004A5288">
              <w:rPr>
                <w:rFonts w:ascii="Calibri" w:hAnsi="Calibri"/>
                <w:sz w:val="18"/>
                <w:szCs w:val="18"/>
                <w:lang w:val="fr-CA"/>
              </w:rPr>
              <w:t>, avec un trait de fracture du côté médial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 xml:space="preserve">. </w:t>
            </w:r>
            <w:r w:rsidR="0033673C" w:rsidRPr="004A5288">
              <w:rPr>
                <w:rFonts w:ascii="Calibri" w:hAnsi="Calibri"/>
                <w:sz w:val="18"/>
                <w:szCs w:val="18"/>
                <w:lang w:val="fr-CA"/>
              </w:rPr>
              <w:t>On peut également observer un épaississement cortical du cortex latéral au site de fracture</w:t>
            </w:r>
            <w:r w:rsidR="005E21AF" w:rsidRPr="004A5288">
              <w:rPr>
                <w:rFonts w:ascii="Calibri" w:hAnsi="Calibri"/>
                <w:sz w:val="18"/>
                <w:szCs w:val="18"/>
                <w:lang w:val="fr-CA"/>
              </w:rPr>
              <w:t>.</w:t>
            </w:r>
          </w:p>
        </w:tc>
      </w:tr>
      <w:tr w:rsidR="005E21AF" w:rsidRPr="006D4670" w14:paraId="131E84A2" w14:textId="77777777" w:rsidTr="007D50CA">
        <w:tc>
          <w:tcPr>
            <w:tcW w:w="1527" w:type="dxa"/>
          </w:tcPr>
          <w:p w14:paraId="7271A57D" w14:textId="755F4B4E" w:rsidR="005E21AF" w:rsidRPr="006D4670" w:rsidRDefault="001B4CDB" w:rsidP="001B4CD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Considé</w:t>
            </w:r>
            <w:r w:rsidRPr="006D4670">
              <w:rPr>
                <w:rFonts w:ascii="Calibri" w:hAnsi="Calibri"/>
                <w:sz w:val="22"/>
                <w:szCs w:val="22"/>
                <w:lang w:val="fr-CA"/>
              </w:rPr>
              <w:t xml:space="preserve">rations 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de prise en charge de l’osté</w:t>
            </w:r>
            <w:r w:rsidR="005E21AF" w:rsidRPr="006D4670">
              <w:rPr>
                <w:rFonts w:ascii="Calibri" w:hAnsi="Calibri"/>
                <w:sz w:val="22"/>
                <w:szCs w:val="22"/>
                <w:lang w:val="fr-CA"/>
              </w:rPr>
              <w:t>oporos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e</w:t>
            </w:r>
            <w:r w:rsidR="005E21AF" w:rsidRPr="006D4670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59" w:type="dxa"/>
          </w:tcPr>
          <w:p w14:paraId="0CE69C6E" w14:textId="4C1EF330" w:rsidR="005E21AF" w:rsidRPr="004A5288" w:rsidRDefault="001B4CDB" w:rsidP="004822EB">
            <w:pPr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Les p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atients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présentant</w:t>
            </w:r>
            <w:r w:rsidR="0063653D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 des fractures ostéoporotiques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typiques sont </w:t>
            </w:r>
            <w:r w:rsidR="004822EB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à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HAUT RISQUE de fractures répétées et devraient poursuivre un traitement approprié contre l’ostéoporose 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(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bien qu’un changement de médicament </w:t>
            </w:r>
            <w:r w:rsidR="004822EB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p</w:t>
            </w:r>
            <w:r w:rsidR="001741A8">
              <w:rPr>
                <w:rFonts w:ascii="Calibri" w:hAnsi="Calibri"/>
                <w:b/>
                <w:sz w:val="18"/>
                <w:szCs w:val="18"/>
                <w:lang w:val="fr-CA"/>
              </w:rPr>
              <w:t>uisse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 être étudié ou pris en considération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).</w:t>
            </w:r>
          </w:p>
        </w:tc>
        <w:tc>
          <w:tcPr>
            <w:tcW w:w="4790" w:type="dxa"/>
          </w:tcPr>
          <w:p w14:paraId="060BF0B8" w14:textId="6B9BE080" w:rsidR="005E21AF" w:rsidRPr="004A5288" w:rsidRDefault="004822EB" w:rsidP="004822EB">
            <w:pPr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Le traitement des fractures atypiques du fémur est complexe puisqu’il faut peser les risques liés à la continuation du traitement 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(ris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que de survenue d’une fracture atypique du fémur </w:t>
            </w:r>
            <w:proofErr w:type="spellStart"/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contralatérale</w:t>
            </w:r>
            <w:proofErr w:type="spellEnd"/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)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et ceux liés à l’arrêt du traitement 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(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risque de survenue des nombreux </w:t>
            </w:r>
            <w:r w:rsidR="00F108CA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autres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types de fractures classiques liées à l’ostéoporose</w:t>
            </w:r>
            <w:r w:rsidR="009448EA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). </w:t>
            </w:r>
            <w:r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Ces patients gagneraient à consulter un spécialiste de l’ostéoporose qui les aiderait à choisir le meilleur traitement</w:t>
            </w:r>
            <w:r w:rsidR="005E21AF" w:rsidRPr="004A5288">
              <w:rPr>
                <w:rFonts w:ascii="Calibri" w:hAnsi="Calibri"/>
                <w:b/>
                <w:sz w:val="18"/>
                <w:szCs w:val="18"/>
                <w:lang w:val="fr-CA"/>
              </w:rPr>
              <w:t>.</w:t>
            </w:r>
          </w:p>
        </w:tc>
      </w:tr>
    </w:tbl>
    <w:p w14:paraId="14D300C3" w14:textId="77777777" w:rsidR="005E21AF" w:rsidRPr="006D4670" w:rsidRDefault="005E21AF" w:rsidP="005855B5">
      <w:pPr>
        <w:rPr>
          <w:rFonts w:ascii="Calibri" w:hAnsi="Calibri"/>
          <w:sz w:val="16"/>
          <w:szCs w:val="16"/>
          <w:lang w:val="fr-CA"/>
        </w:rPr>
      </w:pPr>
    </w:p>
    <w:p w14:paraId="7DD0FE5F" w14:textId="364A697F" w:rsidR="005E21AF" w:rsidRPr="006D4670" w:rsidRDefault="004822EB" w:rsidP="005855B5">
      <w:pPr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Nous </w:t>
      </w:r>
      <w:r w:rsidR="004A5288">
        <w:rPr>
          <w:rFonts w:ascii="Calibri" w:hAnsi="Calibri"/>
          <w:sz w:val="22"/>
          <w:szCs w:val="22"/>
          <w:lang w:val="fr-CA"/>
        </w:rPr>
        <w:t>espérons</w:t>
      </w:r>
      <w:r>
        <w:rPr>
          <w:rFonts w:ascii="Calibri" w:hAnsi="Calibri"/>
          <w:sz w:val="22"/>
          <w:szCs w:val="22"/>
          <w:lang w:val="fr-CA"/>
        </w:rPr>
        <w:t xml:space="preserve"> que ces renseignements vous seront utiles </w:t>
      </w:r>
      <w:r w:rsidR="004A1FA9">
        <w:rPr>
          <w:rFonts w:ascii="Calibri" w:hAnsi="Calibri"/>
          <w:sz w:val="22"/>
          <w:szCs w:val="22"/>
          <w:lang w:val="fr-CA"/>
        </w:rPr>
        <w:t xml:space="preserve">pour orienter le traitement de votre patient. </w:t>
      </w:r>
      <w:r w:rsidR="005E21AF" w:rsidRPr="006D4670">
        <w:rPr>
          <w:rFonts w:ascii="Calibri" w:hAnsi="Calibri"/>
          <w:sz w:val="22"/>
          <w:szCs w:val="22"/>
          <w:lang w:val="fr-CA"/>
        </w:rPr>
        <w:t xml:space="preserve"> </w:t>
      </w:r>
    </w:p>
    <w:p w14:paraId="55BB71EE" w14:textId="77777777" w:rsidR="005E21AF" w:rsidRPr="006D4670" w:rsidRDefault="005E21AF" w:rsidP="00EF53C8">
      <w:pPr>
        <w:rPr>
          <w:rFonts w:ascii="Calibri" w:hAnsi="Calibri"/>
          <w:sz w:val="16"/>
          <w:szCs w:val="16"/>
          <w:lang w:val="fr-CA"/>
        </w:rPr>
      </w:pPr>
    </w:p>
    <w:p w14:paraId="130E9533" w14:textId="0BFDC346" w:rsidR="005E21AF" w:rsidRPr="006D4670" w:rsidRDefault="002276C6" w:rsidP="00EF53C8">
      <w:pPr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Veuillez agréer, </w:t>
      </w:r>
      <w:r w:rsidRPr="006D4670">
        <w:rPr>
          <w:rFonts w:ascii="Calibri" w:hAnsi="Calibri"/>
          <w:sz w:val="22"/>
          <w:szCs w:val="22"/>
          <w:lang w:val="fr-CA"/>
        </w:rPr>
        <w:t>Docteur (ou Docteur</w:t>
      </w:r>
      <w:r>
        <w:rPr>
          <w:rFonts w:ascii="Calibri" w:hAnsi="Calibri"/>
          <w:sz w:val="22"/>
          <w:szCs w:val="22"/>
          <w:lang w:val="fr-CA"/>
        </w:rPr>
        <w:t>e</w:t>
      </w:r>
      <w:r w:rsidRPr="006D4670">
        <w:rPr>
          <w:rFonts w:ascii="Calibri" w:hAnsi="Calibri"/>
          <w:sz w:val="22"/>
          <w:szCs w:val="22"/>
          <w:lang w:val="fr-CA"/>
        </w:rPr>
        <w:t>)</w:t>
      </w:r>
      <w:r>
        <w:rPr>
          <w:rFonts w:ascii="Calibri" w:hAnsi="Calibri"/>
          <w:sz w:val="22"/>
          <w:szCs w:val="22"/>
          <w:lang w:val="fr-CA"/>
        </w:rPr>
        <w:t xml:space="preserve"> </w:t>
      </w:r>
      <w:r w:rsidRPr="006D4670">
        <w:rPr>
          <w:rFonts w:ascii="Calibri" w:hAnsi="Calibri"/>
          <w:sz w:val="22"/>
          <w:szCs w:val="22"/>
          <w:lang w:val="fr-CA"/>
        </w:rPr>
        <w:t>__________________________</w:t>
      </w:r>
      <w:r w:rsidR="005E21AF" w:rsidRPr="006D4670">
        <w:rPr>
          <w:rFonts w:ascii="Calibri" w:hAnsi="Calibri"/>
          <w:sz w:val="22"/>
          <w:szCs w:val="22"/>
          <w:lang w:val="fr-CA"/>
        </w:rPr>
        <w:t>,</w:t>
      </w:r>
      <w:r>
        <w:rPr>
          <w:rFonts w:ascii="Calibri" w:hAnsi="Calibri"/>
          <w:sz w:val="22"/>
          <w:szCs w:val="22"/>
          <w:lang w:val="fr-CA"/>
        </w:rPr>
        <w:t xml:space="preserve"> l’expression de nos salutations distinguées.</w:t>
      </w:r>
    </w:p>
    <w:p w14:paraId="317E81EC" w14:textId="77777777" w:rsidR="005E21AF" w:rsidRPr="006D4670" w:rsidRDefault="005E21AF">
      <w:pPr>
        <w:rPr>
          <w:lang w:val="fr-CA"/>
        </w:rPr>
      </w:pPr>
    </w:p>
    <w:p w14:paraId="5D4AFDA5" w14:textId="77777777" w:rsidR="005E21AF" w:rsidRPr="006D4670" w:rsidRDefault="005E21AF">
      <w:pPr>
        <w:rPr>
          <w:lang w:val="fr-CA"/>
        </w:rPr>
      </w:pPr>
    </w:p>
    <w:p w14:paraId="20F184A6" w14:textId="6BCA2AC1" w:rsidR="00406B4A" w:rsidRPr="006D4670" w:rsidRDefault="00994D84" w:rsidP="00406B4A">
      <w:pPr>
        <w:rPr>
          <w:rFonts w:ascii="Calibri" w:hAnsi="Calibri"/>
          <w:i/>
          <w:sz w:val="24"/>
          <w:szCs w:val="24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Garde </w:t>
      </w:r>
      <w:bookmarkStart w:id="0" w:name="_GoBack"/>
      <w:bookmarkEnd w:id="0"/>
      <w:r w:rsidR="00853171">
        <w:rPr>
          <w:rFonts w:ascii="Calibri" w:hAnsi="Calibri"/>
          <w:i/>
          <w:sz w:val="22"/>
          <w:szCs w:val="22"/>
          <w:lang w:val="fr-CA"/>
        </w:rPr>
        <w:t>Dugay</w:t>
      </w:r>
      <w:r w:rsidR="00406B4A" w:rsidRPr="006D4670">
        <w:rPr>
          <w:rFonts w:ascii="Calibri" w:hAnsi="Calibri"/>
          <w:i/>
          <w:sz w:val="24"/>
          <w:szCs w:val="24"/>
          <w:lang w:val="fr-CA"/>
        </w:rPr>
        <w:t xml:space="preserve">, </w:t>
      </w:r>
      <w:r w:rsidR="00642327">
        <w:rPr>
          <w:rFonts w:ascii="Calibri" w:hAnsi="Calibri"/>
          <w:i/>
          <w:sz w:val="24"/>
          <w:szCs w:val="24"/>
          <w:lang w:val="fr-CA"/>
        </w:rPr>
        <w:t>IP</w:t>
      </w:r>
      <w:r w:rsidR="00642327">
        <w:rPr>
          <w:rFonts w:ascii="Calibri" w:hAnsi="Calibri"/>
          <w:i/>
          <w:sz w:val="24"/>
          <w:szCs w:val="24"/>
          <w:lang w:val="fr-CA"/>
        </w:rPr>
        <w:tab/>
      </w:r>
      <w:r w:rsidR="00642327">
        <w:rPr>
          <w:rFonts w:ascii="Calibri" w:hAnsi="Calibri"/>
          <w:i/>
          <w:sz w:val="24"/>
          <w:szCs w:val="24"/>
          <w:lang w:val="fr-CA"/>
        </w:rPr>
        <w:tab/>
      </w:r>
      <w:r w:rsidR="00642327">
        <w:rPr>
          <w:rFonts w:ascii="Calibri" w:hAnsi="Calibri"/>
          <w:i/>
          <w:sz w:val="24"/>
          <w:szCs w:val="24"/>
          <w:lang w:val="fr-CA"/>
        </w:rPr>
        <w:tab/>
        <w:t>D</w:t>
      </w:r>
      <w:r w:rsidR="00642327" w:rsidRPr="00642327">
        <w:rPr>
          <w:rFonts w:ascii="Calibri" w:hAnsi="Calibri"/>
          <w:i/>
          <w:sz w:val="24"/>
          <w:szCs w:val="24"/>
          <w:vertAlign w:val="superscript"/>
          <w:lang w:val="fr-CA"/>
        </w:rPr>
        <w:t>r</w:t>
      </w:r>
      <w:r w:rsidR="00CA3EFE">
        <w:rPr>
          <w:rFonts w:ascii="Calibri" w:hAnsi="Calibri"/>
          <w:i/>
          <w:sz w:val="24"/>
          <w:szCs w:val="24"/>
          <w:vertAlign w:val="superscript"/>
          <w:lang w:val="fr-CA"/>
        </w:rPr>
        <w:t xml:space="preserve"> </w:t>
      </w:r>
      <w:r w:rsidR="00CA3EFE" w:rsidRPr="00CA3EFE">
        <w:rPr>
          <w:rFonts w:ascii="Calibri" w:hAnsi="Calibri"/>
          <w:i/>
          <w:sz w:val="24"/>
          <w:szCs w:val="24"/>
          <w:lang w:val="fr-CA"/>
        </w:rPr>
        <w:t>(D</w:t>
      </w:r>
      <w:r w:rsidR="00CA3EFE" w:rsidRPr="00CA3EFE">
        <w:rPr>
          <w:rFonts w:ascii="Calibri" w:hAnsi="Calibri"/>
          <w:i/>
          <w:sz w:val="24"/>
          <w:szCs w:val="24"/>
          <w:vertAlign w:val="superscript"/>
          <w:lang w:val="fr-CA"/>
        </w:rPr>
        <w:t>re</w:t>
      </w:r>
      <w:r w:rsidR="00CA3EFE" w:rsidRPr="00CA3EFE">
        <w:rPr>
          <w:rFonts w:ascii="Calibri" w:hAnsi="Calibri"/>
          <w:i/>
          <w:sz w:val="24"/>
          <w:szCs w:val="24"/>
          <w:lang w:val="fr-CA"/>
        </w:rPr>
        <w:t>)</w:t>
      </w:r>
      <w:r w:rsidR="00406B4A" w:rsidRPr="006D4670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853171">
        <w:rPr>
          <w:rFonts w:ascii="Calibri" w:hAnsi="Calibri"/>
          <w:i/>
          <w:sz w:val="24"/>
          <w:szCs w:val="24"/>
          <w:lang w:val="fr-CA"/>
        </w:rPr>
        <w:t>Guy</w:t>
      </w:r>
      <w:r w:rsidR="00406B4A" w:rsidRPr="006D4670">
        <w:rPr>
          <w:rFonts w:ascii="Calibri" w:hAnsi="Calibri"/>
          <w:i/>
          <w:sz w:val="24"/>
          <w:szCs w:val="24"/>
          <w:lang w:val="fr-CA"/>
        </w:rPr>
        <w:t>, MD FRCPC/FRCSC</w:t>
      </w:r>
    </w:p>
    <w:p w14:paraId="6C7AA8BF" w14:textId="7627EEA4" w:rsidR="00406B4A" w:rsidRPr="006D4670" w:rsidRDefault="00F87A9F" w:rsidP="00F87A9F">
      <w:pPr>
        <w:ind w:left="3600" w:hanging="3600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i/>
          <w:sz w:val="24"/>
          <w:szCs w:val="24"/>
          <w:lang w:val="fr-CA"/>
        </w:rPr>
        <w:t>Coordon</w:t>
      </w:r>
      <w:r w:rsidR="004A1FA9">
        <w:rPr>
          <w:rFonts w:ascii="Calibri" w:hAnsi="Calibri"/>
          <w:i/>
          <w:sz w:val="24"/>
          <w:szCs w:val="24"/>
          <w:lang w:val="fr-CA"/>
        </w:rPr>
        <w:t xml:space="preserve">natrice </w:t>
      </w:r>
      <w:r w:rsidR="007E1A94">
        <w:rPr>
          <w:rFonts w:ascii="Calibri" w:hAnsi="Calibri"/>
          <w:i/>
          <w:sz w:val="24"/>
          <w:szCs w:val="24"/>
          <w:lang w:val="fr-CA"/>
        </w:rPr>
        <w:t>du</w:t>
      </w:r>
      <w:r w:rsidR="00642327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406B4A" w:rsidRPr="006D4670">
        <w:rPr>
          <w:rFonts w:ascii="Calibri" w:hAnsi="Calibri"/>
          <w:i/>
          <w:sz w:val="24"/>
          <w:szCs w:val="24"/>
          <w:lang w:val="fr-CA"/>
        </w:rPr>
        <w:t>FLS</w:t>
      </w:r>
      <w:r w:rsidR="00406B4A" w:rsidRPr="006D4670">
        <w:rPr>
          <w:rFonts w:ascii="Calibri" w:hAnsi="Calibri"/>
          <w:sz w:val="24"/>
          <w:szCs w:val="24"/>
          <w:lang w:val="fr-CA"/>
        </w:rPr>
        <w:tab/>
      </w:r>
      <w:proofErr w:type="gramStart"/>
      <w:r w:rsidR="00642327">
        <w:rPr>
          <w:rFonts w:ascii="Calibri" w:hAnsi="Calibri"/>
          <w:i/>
          <w:sz w:val="18"/>
          <w:szCs w:val="18"/>
          <w:lang w:val="fr-CA"/>
        </w:rPr>
        <w:t>Directeur</w:t>
      </w:r>
      <w:r w:rsidR="00CA3EFE">
        <w:rPr>
          <w:rFonts w:ascii="Calibri" w:hAnsi="Calibri"/>
          <w:i/>
          <w:sz w:val="18"/>
          <w:szCs w:val="18"/>
          <w:lang w:val="fr-CA"/>
        </w:rPr>
        <w:t>(</w:t>
      </w:r>
      <w:proofErr w:type="spellStart"/>
      <w:proofErr w:type="gramEnd"/>
      <w:r w:rsidR="00CA3EFE">
        <w:rPr>
          <w:rFonts w:ascii="Calibri" w:hAnsi="Calibri"/>
          <w:i/>
          <w:sz w:val="18"/>
          <w:szCs w:val="18"/>
          <w:lang w:val="fr-CA"/>
        </w:rPr>
        <w:t>rice</w:t>
      </w:r>
      <w:proofErr w:type="spellEnd"/>
      <w:r w:rsidR="00CA3EFE">
        <w:rPr>
          <w:rFonts w:ascii="Calibri" w:hAnsi="Calibri"/>
          <w:i/>
          <w:sz w:val="18"/>
          <w:szCs w:val="18"/>
          <w:lang w:val="fr-CA"/>
        </w:rPr>
        <w:t>)</w:t>
      </w:r>
      <w:r w:rsidR="00642327">
        <w:rPr>
          <w:rFonts w:ascii="Calibri" w:hAnsi="Calibri"/>
          <w:i/>
          <w:sz w:val="18"/>
          <w:szCs w:val="18"/>
          <w:lang w:val="fr-CA"/>
        </w:rPr>
        <w:t xml:space="preserve"> médical</w:t>
      </w:r>
      <w:r w:rsidR="00CA3EFE">
        <w:rPr>
          <w:rFonts w:ascii="Calibri" w:hAnsi="Calibri"/>
          <w:i/>
          <w:sz w:val="18"/>
          <w:szCs w:val="18"/>
          <w:lang w:val="fr-CA"/>
        </w:rPr>
        <w:t>(e)</w:t>
      </w:r>
      <w:r w:rsidR="00642327">
        <w:rPr>
          <w:rFonts w:ascii="Calibri" w:hAnsi="Calibri"/>
          <w:i/>
          <w:sz w:val="18"/>
          <w:szCs w:val="18"/>
          <w:lang w:val="fr-CA"/>
        </w:rPr>
        <w:t xml:space="preserve"> du F</w:t>
      </w:r>
      <w:r w:rsidR="00406B4A" w:rsidRPr="006D4670">
        <w:rPr>
          <w:rFonts w:ascii="Calibri" w:hAnsi="Calibri"/>
          <w:i/>
          <w:sz w:val="18"/>
          <w:szCs w:val="18"/>
          <w:lang w:val="fr-CA"/>
        </w:rPr>
        <w:t xml:space="preserve">LS, </w:t>
      </w:r>
      <w:r w:rsidR="00642327">
        <w:rPr>
          <w:rFonts w:ascii="Calibri" w:hAnsi="Calibri"/>
          <w:i/>
          <w:sz w:val="18"/>
          <w:szCs w:val="18"/>
          <w:lang w:val="fr-CA"/>
        </w:rPr>
        <w:t>chirurgien</w:t>
      </w:r>
      <w:r w:rsidR="00CA3EFE">
        <w:rPr>
          <w:rFonts w:ascii="Calibri" w:hAnsi="Calibri"/>
          <w:i/>
          <w:sz w:val="18"/>
          <w:szCs w:val="18"/>
          <w:lang w:val="fr-CA"/>
        </w:rPr>
        <w:t>(ne)</w:t>
      </w:r>
      <w:r w:rsidR="00642327">
        <w:rPr>
          <w:rFonts w:ascii="Calibri" w:hAnsi="Calibri"/>
          <w:i/>
          <w:sz w:val="18"/>
          <w:szCs w:val="18"/>
          <w:lang w:val="fr-CA"/>
        </w:rPr>
        <w:t xml:space="preserve"> o</w:t>
      </w:r>
      <w:r w:rsidR="00406B4A" w:rsidRPr="006D4670">
        <w:rPr>
          <w:rFonts w:ascii="Calibri" w:hAnsi="Calibri"/>
          <w:i/>
          <w:sz w:val="18"/>
          <w:szCs w:val="18"/>
          <w:lang w:val="fr-CA"/>
        </w:rPr>
        <w:t>rthop</w:t>
      </w:r>
      <w:r w:rsidR="00642327">
        <w:rPr>
          <w:rFonts w:ascii="Calibri" w:hAnsi="Calibri"/>
          <w:i/>
          <w:sz w:val="18"/>
          <w:szCs w:val="18"/>
          <w:lang w:val="fr-CA"/>
        </w:rPr>
        <w:t>édique</w:t>
      </w:r>
      <w:r w:rsidR="00406B4A" w:rsidRPr="006D4670">
        <w:rPr>
          <w:rFonts w:ascii="Calibri" w:hAnsi="Calibri"/>
          <w:i/>
          <w:sz w:val="18"/>
          <w:szCs w:val="18"/>
          <w:lang w:val="fr-CA"/>
        </w:rPr>
        <w:t xml:space="preserve"> o</w:t>
      </w:r>
      <w:r w:rsidR="00642327">
        <w:rPr>
          <w:rFonts w:ascii="Calibri" w:hAnsi="Calibri"/>
          <w:i/>
          <w:sz w:val="18"/>
          <w:szCs w:val="18"/>
          <w:lang w:val="fr-CA"/>
        </w:rPr>
        <w:t xml:space="preserve">u </w:t>
      </w:r>
      <w:r w:rsidR="00406B4A" w:rsidRPr="006D4670">
        <w:rPr>
          <w:rFonts w:ascii="Calibri" w:hAnsi="Calibri"/>
          <w:i/>
          <w:sz w:val="18"/>
          <w:szCs w:val="18"/>
          <w:lang w:val="fr-CA"/>
        </w:rPr>
        <w:t>leader</w:t>
      </w:r>
      <w:r w:rsidR="00642327">
        <w:rPr>
          <w:rFonts w:ascii="Calibri" w:hAnsi="Calibri"/>
          <w:i/>
          <w:sz w:val="18"/>
          <w:szCs w:val="18"/>
          <w:lang w:val="fr-CA"/>
        </w:rPr>
        <w:t xml:space="preserve"> d’opinion local</w:t>
      </w:r>
      <w:r w:rsidR="00EA4C52">
        <w:rPr>
          <w:rFonts w:ascii="Calibri" w:hAnsi="Calibri"/>
          <w:i/>
          <w:sz w:val="18"/>
          <w:szCs w:val="18"/>
          <w:lang w:val="fr-CA"/>
        </w:rPr>
        <w:t>(e)</w:t>
      </w:r>
    </w:p>
    <w:p w14:paraId="38A89C6D" w14:textId="77777777" w:rsidR="005E21AF" w:rsidRPr="006D4670" w:rsidRDefault="005E21AF" w:rsidP="00927C29">
      <w:pPr>
        <w:rPr>
          <w:lang w:val="fr-CA"/>
        </w:rPr>
      </w:pPr>
    </w:p>
    <w:sectPr w:rsidR="005E21AF" w:rsidRPr="006D4670" w:rsidSect="00927C29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7604" w14:textId="77777777" w:rsidR="002C25D6" w:rsidRDefault="002C25D6" w:rsidP="00EF53C8">
      <w:r>
        <w:separator/>
      </w:r>
    </w:p>
  </w:endnote>
  <w:endnote w:type="continuationSeparator" w:id="0">
    <w:p w14:paraId="33D73A92" w14:textId="77777777" w:rsidR="002C25D6" w:rsidRDefault="002C25D6" w:rsidP="00EF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D142" w14:textId="77777777" w:rsidR="002C25D6" w:rsidRDefault="002C25D6" w:rsidP="00EF53C8">
      <w:r>
        <w:separator/>
      </w:r>
    </w:p>
  </w:footnote>
  <w:footnote w:type="continuationSeparator" w:id="0">
    <w:p w14:paraId="421C1224" w14:textId="77777777" w:rsidR="002C25D6" w:rsidRDefault="002C25D6" w:rsidP="00EF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6DC"/>
    <w:multiLevelType w:val="hybridMultilevel"/>
    <w:tmpl w:val="222ECAD4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E6062BD"/>
    <w:multiLevelType w:val="hybridMultilevel"/>
    <w:tmpl w:val="5786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2A9C"/>
    <w:multiLevelType w:val="hybridMultilevel"/>
    <w:tmpl w:val="A5CC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5A88"/>
    <w:multiLevelType w:val="hybridMultilevel"/>
    <w:tmpl w:val="DA207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5B8B"/>
    <w:multiLevelType w:val="hybridMultilevel"/>
    <w:tmpl w:val="DA00C896"/>
    <w:lvl w:ilvl="0" w:tplc="FB02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A11"/>
    <w:multiLevelType w:val="hybridMultilevel"/>
    <w:tmpl w:val="50B008F2"/>
    <w:lvl w:ilvl="0" w:tplc="FB02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8"/>
    <w:rsid w:val="00001E41"/>
    <w:rsid w:val="00020C0C"/>
    <w:rsid w:val="00025596"/>
    <w:rsid w:val="00040454"/>
    <w:rsid w:val="00040D64"/>
    <w:rsid w:val="00056EEF"/>
    <w:rsid w:val="000662BD"/>
    <w:rsid w:val="00071078"/>
    <w:rsid w:val="0008355F"/>
    <w:rsid w:val="00092618"/>
    <w:rsid w:val="000A4BBF"/>
    <w:rsid w:val="000A5BF2"/>
    <w:rsid w:val="000E4D02"/>
    <w:rsid w:val="000F0BD0"/>
    <w:rsid w:val="000F71BC"/>
    <w:rsid w:val="00101F29"/>
    <w:rsid w:val="00102B94"/>
    <w:rsid w:val="001044BE"/>
    <w:rsid w:val="00115BC3"/>
    <w:rsid w:val="00145425"/>
    <w:rsid w:val="00170362"/>
    <w:rsid w:val="001741A8"/>
    <w:rsid w:val="00184A64"/>
    <w:rsid w:val="0018533A"/>
    <w:rsid w:val="001A34FA"/>
    <w:rsid w:val="001B4CDB"/>
    <w:rsid w:val="001D14BE"/>
    <w:rsid w:val="001D211C"/>
    <w:rsid w:val="001D491F"/>
    <w:rsid w:val="001D74CC"/>
    <w:rsid w:val="002067B5"/>
    <w:rsid w:val="002151C0"/>
    <w:rsid w:val="00224839"/>
    <w:rsid w:val="002276C6"/>
    <w:rsid w:val="00251322"/>
    <w:rsid w:val="002558C1"/>
    <w:rsid w:val="00272927"/>
    <w:rsid w:val="00273751"/>
    <w:rsid w:val="002902F4"/>
    <w:rsid w:val="00290911"/>
    <w:rsid w:val="0029295D"/>
    <w:rsid w:val="00294417"/>
    <w:rsid w:val="00296747"/>
    <w:rsid w:val="002A371E"/>
    <w:rsid w:val="002C25D6"/>
    <w:rsid w:val="002C7859"/>
    <w:rsid w:val="002F15DD"/>
    <w:rsid w:val="002F3D4A"/>
    <w:rsid w:val="00300259"/>
    <w:rsid w:val="00315B33"/>
    <w:rsid w:val="0031689D"/>
    <w:rsid w:val="0033673C"/>
    <w:rsid w:val="00337DDE"/>
    <w:rsid w:val="00340C47"/>
    <w:rsid w:val="003563FB"/>
    <w:rsid w:val="00364DED"/>
    <w:rsid w:val="003728DD"/>
    <w:rsid w:val="003776AE"/>
    <w:rsid w:val="003A07D9"/>
    <w:rsid w:val="003B04C7"/>
    <w:rsid w:val="003C425B"/>
    <w:rsid w:val="003D33E3"/>
    <w:rsid w:val="003D5D3B"/>
    <w:rsid w:val="003F183E"/>
    <w:rsid w:val="003F4702"/>
    <w:rsid w:val="00401C42"/>
    <w:rsid w:val="00401DCC"/>
    <w:rsid w:val="00403AFB"/>
    <w:rsid w:val="00406B4A"/>
    <w:rsid w:val="00431142"/>
    <w:rsid w:val="00432968"/>
    <w:rsid w:val="004409A4"/>
    <w:rsid w:val="00442B7D"/>
    <w:rsid w:val="004457DE"/>
    <w:rsid w:val="004544FC"/>
    <w:rsid w:val="00457076"/>
    <w:rsid w:val="004669A3"/>
    <w:rsid w:val="00471CD0"/>
    <w:rsid w:val="00481E4A"/>
    <w:rsid w:val="004822EB"/>
    <w:rsid w:val="00483191"/>
    <w:rsid w:val="00483946"/>
    <w:rsid w:val="0048518D"/>
    <w:rsid w:val="00493B6D"/>
    <w:rsid w:val="004A1FA9"/>
    <w:rsid w:val="004A5288"/>
    <w:rsid w:val="004B5BE0"/>
    <w:rsid w:val="004B602D"/>
    <w:rsid w:val="004B6199"/>
    <w:rsid w:val="004C7C9C"/>
    <w:rsid w:val="004E5523"/>
    <w:rsid w:val="004E6847"/>
    <w:rsid w:val="004E7B1F"/>
    <w:rsid w:val="004F3017"/>
    <w:rsid w:val="005131A0"/>
    <w:rsid w:val="00517038"/>
    <w:rsid w:val="005309F2"/>
    <w:rsid w:val="00533F25"/>
    <w:rsid w:val="00534610"/>
    <w:rsid w:val="0055298D"/>
    <w:rsid w:val="005635E1"/>
    <w:rsid w:val="00573C0E"/>
    <w:rsid w:val="005855B5"/>
    <w:rsid w:val="00587C50"/>
    <w:rsid w:val="00593AB5"/>
    <w:rsid w:val="00595436"/>
    <w:rsid w:val="005B32F3"/>
    <w:rsid w:val="005C1D15"/>
    <w:rsid w:val="005C3073"/>
    <w:rsid w:val="005C668D"/>
    <w:rsid w:val="005E21AF"/>
    <w:rsid w:val="005E563C"/>
    <w:rsid w:val="005F5C4A"/>
    <w:rsid w:val="00601A99"/>
    <w:rsid w:val="00611FC6"/>
    <w:rsid w:val="00620C3C"/>
    <w:rsid w:val="006222BD"/>
    <w:rsid w:val="006320CA"/>
    <w:rsid w:val="0063653D"/>
    <w:rsid w:val="006407B3"/>
    <w:rsid w:val="00641C60"/>
    <w:rsid w:val="00642327"/>
    <w:rsid w:val="006442CF"/>
    <w:rsid w:val="006462BB"/>
    <w:rsid w:val="00653146"/>
    <w:rsid w:val="00653EF3"/>
    <w:rsid w:val="006644A9"/>
    <w:rsid w:val="00664532"/>
    <w:rsid w:val="00664AA9"/>
    <w:rsid w:val="00670873"/>
    <w:rsid w:val="00677CB5"/>
    <w:rsid w:val="00681DFB"/>
    <w:rsid w:val="006A35F6"/>
    <w:rsid w:val="006A368B"/>
    <w:rsid w:val="006A5215"/>
    <w:rsid w:val="006B219C"/>
    <w:rsid w:val="006B66B3"/>
    <w:rsid w:val="006B7A53"/>
    <w:rsid w:val="006C51C0"/>
    <w:rsid w:val="006D0632"/>
    <w:rsid w:val="006D4670"/>
    <w:rsid w:val="006E02FE"/>
    <w:rsid w:val="006E2F74"/>
    <w:rsid w:val="00703FF5"/>
    <w:rsid w:val="0070491B"/>
    <w:rsid w:val="007129D3"/>
    <w:rsid w:val="00720009"/>
    <w:rsid w:val="0072192B"/>
    <w:rsid w:val="00727A4D"/>
    <w:rsid w:val="00733714"/>
    <w:rsid w:val="00735B3B"/>
    <w:rsid w:val="007505CB"/>
    <w:rsid w:val="00753C98"/>
    <w:rsid w:val="00757349"/>
    <w:rsid w:val="007611AF"/>
    <w:rsid w:val="0077270A"/>
    <w:rsid w:val="00776044"/>
    <w:rsid w:val="00781401"/>
    <w:rsid w:val="007824CD"/>
    <w:rsid w:val="00797428"/>
    <w:rsid w:val="007A28FA"/>
    <w:rsid w:val="007B1D20"/>
    <w:rsid w:val="007C431D"/>
    <w:rsid w:val="007D50CA"/>
    <w:rsid w:val="007D6C7E"/>
    <w:rsid w:val="007E1A94"/>
    <w:rsid w:val="007E7880"/>
    <w:rsid w:val="00800DA9"/>
    <w:rsid w:val="008059ED"/>
    <w:rsid w:val="0081205E"/>
    <w:rsid w:val="008201AA"/>
    <w:rsid w:val="008204D7"/>
    <w:rsid w:val="0083191F"/>
    <w:rsid w:val="008364DC"/>
    <w:rsid w:val="00841132"/>
    <w:rsid w:val="00853171"/>
    <w:rsid w:val="00860941"/>
    <w:rsid w:val="0086600E"/>
    <w:rsid w:val="00874665"/>
    <w:rsid w:val="00874ED2"/>
    <w:rsid w:val="00882CCA"/>
    <w:rsid w:val="008971DD"/>
    <w:rsid w:val="008D7DF2"/>
    <w:rsid w:val="008E3DE9"/>
    <w:rsid w:val="009037B4"/>
    <w:rsid w:val="009052AC"/>
    <w:rsid w:val="009207CB"/>
    <w:rsid w:val="00927C29"/>
    <w:rsid w:val="009448EA"/>
    <w:rsid w:val="00954EE9"/>
    <w:rsid w:val="0096427F"/>
    <w:rsid w:val="00977952"/>
    <w:rsid w:val="00994D84"/>
    <w:rsid w:val="009A5714"/>
    <w:rsid w:val="009D6A14"/>
    <w:rsid w:val="009F3018"/>
    <w:rsid w:val="00A161E6"/>
    <w:rsid w:val="00A444C3"/>
    <w:rsid w:val="00A620D3"/>
    <w:rsid w:val="00A846CB"/>
    <w:rsid w:val="00A87807"/>
    <w:rsid w:val="00AA1E36"/>
    <w:rsid w:val="00AA3449"/>
    <w:rsid w:val="00AB70B0"/>
    <w:rsid w:val="00AD1F12"/>
    <w:rsid w:val="00AE33D5"/>
    <w:rsid w:val="00B0292D"/>
    <w:rsid w:val="00B065C7"/>
    <w:rsid w:val="00B259B1"/>
    <w:rsid w:val="00B42C9D"/>
    <w:rsid w:val="00B45945"/>
    <w:rsid w:val="00B477A3"/>
    <w:rsid w:val="00B51120"/>
    <w:rsid w:val="00B616C3"/>
    <w:rsid w:val="00B65ACD"/>
    <w:rsid w:val="00B671FB"/>
    <w:rsid w:val="00B8370D"/>
    <w:rsid w:val="00B838E7"/>
    <w:rsid w:val="00B8400E"/>
    <w:rsid w:val="00B94764"/>
    <w:rsid w:val="00BA6BB6"/>
    <w:rsid w:val="00BB0368"/>
    <w:rsid w:val="00BB7F8B"/>
    <w:rsid w:val="00BC6DB6"/>
    <w:rsid w:val="00BE2BA5"/>
    <w:rsid w:val="00C21134"/>
    <w:rsid w:val="00C3525D"/>
    <w:rsid w:val="00C36ED0"/>
    <w:rsid w:val="00C4172A"/>
    <w:rsid w:val="00C43C31"/>
    <w:rsid w:val="00C50947"/>
    <w:rsid w:val="00C515ED"/>
    <w:rsid w:val="00C54EF6"/>
    <w:rsid w:val="00C70D07"/>
    <w:rsid w:val="00C7503F"/>
    <w:rsid w:val="00C9124C"/>
    <w:rsid w:val="00C94130"/>
    <w:rsid w:val="00CA3033"/>
    <w:rsid w:val="00CA3EFE"/>
    <w:rsid w:val="00CB5F2A"/>
    <w:rsid w:val="00CD1FD5"/>
    <w:rsid w:val="00CF61D1"/>
    <w:rsid w:val="00D13D52"/>
    <w:rsid w:val="00D15118"/>
    <w:rsid w:val="00D21737"/>
    <w:rsid w:val="00D23FFD"/>
    <w:rsid w:val="00D2796F"/>
    <w:rsid w:val="00D35641"/>
    <w:rsid w:val="00D37D1C"/>
    <w:rsid w:val="00D40108"/>
    <w:rsid w:val="00D41230"/>
    <w:rsid w:val="00D4391F"/>
    <w:rsid w:val="00D45AED"/>
    <w:rsid w:val="00D727AC"/>
    <w:rsid w:val="00DA17F4"/>
    <w:rsid w:val="00DA36AF"/>
    <w:rsid w:val="00DC3A6B"/>
    <w:rsid w:val="00DC767A"/>
    <w:rsid w:val="00E212CC"/>
    <w:rsid w:val="00E2579A"/>
    <w:rsid w:val="00E30B5F"/>
    <w:rsid w:val="00E57F06"/>
    <w:rsid w:val="00E6337B"/>
    <w:rsid w:val="00E6682A"/>
    <w:rsid w:val="00E672E7"/>
    <w:rsid w:val="00E712C6"/>
    <w:rsid w:val="00E7146D"/>
    <w:rsid w:val="00E83862"/>
    <w:rsid w:val="00E86851"/>
    <w:rsid w:val="00E95839"/>
    <w:rsid w:val="00EA3201"/>
    <w:rsid w:val="00EA4C52"/>
    <w:rsid w:val="00EC1831"/>
    <w:rsid w:val="00ED0FAA"/>
    <w:rsid w:val="00ED54E3"/>
    <w:rsid w:val="00ED76A6"/>
    <w:rsid w:val="00EF2087"/>
    <w:rsid w:val="00EF2A26"/>
    <w:rsid w:val="00EF4047"/>
    <w:rsid w:val="00EF41BB"/>
    <w:rsid w:val="00EF53C8"/>
    <w:rsid w:val="00EF77EC"/>
    <w:rsid w:val="00F108CA"/>
    <w:rsid w:val="00F27B04"/>
    <w:rsid w:val="00F30FD0"/>
    <w:rsid w:val="00F600BF"/>
    <w:rsid w:val="00F87A9F"/>
    <w:rsid w:val="00FA01F1"/>
    <w:rsid w:val="00FA2329"/>
    <w:rsid w:val="00FC170D"/>
    <w:rsid w:val="00FC4BC2"/>
    <w:rsid w:val="00FC51E2"/>
    <w:rsid w:val="00FE4125"/>
    <w:rsid w:val="00FF08CF"/>
    <w:rsid w:val="00FF58E4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57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8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rsid w:val="00E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53C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3C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337D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8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8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rsid w:val="00E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53C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3C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337D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8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4</cp:revision>
  <cp:lastPrinted>2013-03-06T13:06:00Z</cp:lastPrinted>
  <dcterms:created xsi:type="dcterms:W3CDTF">2015-03-30T20:43:00Z</dcterms:created>
  <dcterms:modified xsi:type="dcterms:W3CDTF">2015-04-27T20:42:00Z</dcterms:modified>
</cp:coreProperties>
</file>