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92B0D" w14:textId="77777777" w:rsidR="007646EA" w:rsidRPr="006F5107" w:rsidRDefault="006F5107" w:rsidP="00EF53C8">
      <w:pPr>
        <w:rPr>
          <w:rFonts w:asciiTheme="minorHAnsi" w:hAnsiTheme="minorHAnsi"/>
          <w:sz w:val="24"/>
          <w:szCs w:val="24"/>
          <w:lang w:val="fr-CA"/>
        </w:rPr>
      </w:pPr>
      <w:r w:rsidRPr="006F5107">
        <w:rPr>
          <w:rFonts w:asciiTheme="minorHAnsi" w:hAnsiTheme="minorHAnsi"/>
          <w:sz w:val="24"/>
          <w:szCs w:val="24"/>
          <w:lang w:val="fr-CA"/>
        </w:rPr>
        <w:t>LETT</w:t>
      </w:r>
      <w:r w:rsidR="007646EA" w:rsidRPr="006F5107">
        <w:rPr>
          <w:rFonts w:asciiTheme="minorHAnsi" w:hAnsiTheme="minorHAnsi"/>
          <w:sz w:val="24"/>
          <w:szCs w:val="24"/>
          <w:lang w:val="fr-CA"/>
        </w:rPr>
        <w:t>R</w:t>
      </w:r>
      <w:r w:rsidRPr="006F5107">
        <w:rPr>
          <w:rFonts w:asciiTheme="minorHAnsi" w:hAnsiTheme="minorHAnsi"/>
          <w:sz w:val="24"/>
          <w:szCs w:val="24"/>
          <w:lang w:val="fr-CA"/>
        </w:rPr>
        <w:t>E</w:t>
      </w:r>
      <w:r w:rsidR="007646EA" w:rsidRPr="006F5107">
        <w:rPr>
          <w:rFonts w:asciiTheme="minorHAnsi" w:hAnsiTheme="minorHAnsi"/>
          <w:sz w:val="24"/>
          <w:szCs w:val="24"/>
          <w:lang w:val="fr-CA"/>
        </w:rPr>
        <w:t xml:space="preserve"> D</w:t>
      </w:r>
    </w:p>
    <w:p w14:paraId="00C5760E" w14:textId="77777777" w:rsidR="007646EA" w:rsidRPr="006F5107" w:rsidRDefault="007646EA" w:rsidP="00EF53C8">
      <w:pPr>
        <w:rPr>
          <w:rFonts w:asciiTheme="minorHAnsi" w:hAnsiTheme="minorHAnsi"/>
          <w:sz w:val="24"/>
          <w:szCs w:val="24"/>
          <w:lang w:val="fr-CA"/>
        </w:rPr>
      </w:pPr>
    </w:p>
    <w:p w14:paraId="324EB2E1" w14:textId="77777777" w:rsidR="00607049" w:rsidRPr="006F5107" w:rsidRDefault="00607049" w:rsidP="00EF53C8">
      <w:pPr>
        <w:rPr>
          <w:rFonts w:asciiTheme="minorHAnsi" w:hAnsiTheme="minorHAnsi"/>
          <w:sz w:val="24"/>
          <w:szCs w:val="24"/>
          <w:lang w:val="fr-CA"/>
        </w:rPr>
      </w:pPr>
      <w:r w:rsidRPr="006F5107">
        <w:rPr>
          <w:rFonts w:asciiTheme="minorHAnsi" w:hAnsiTheme="minorHAnsi"/>
          <w:sz w:val="24"/>
          <w:szCs w:val="24"/>
          <w:lang w:val="fr-CA"/>
        </w:rPr>
        <w:tab/>
      </w:r>
      <w:r w:rsidRPr="006F5107">
        <w:rPr>
          <w:rFonts w:asciiTheme="minorHAnsi" w:hAnsiTheme="minorHAnsi"/>
          <w:sz w:val="24"/>
          <w:szCs w:val="24"/>
          <w:lang w:val="fr-CA"/>
        </w:rPr>
        <w:tab/>
      </w:r>
      <w:r w:rsidRPr="006F5107">
        <w:rPr>
          <w:rFonts w:asciiTheme="minorHAnsi" w:hAnsiTheme="minorHAnsi"/>
          <w:sz w:val="24"/>
          <w:szCs w:val="24"/>
          <w:lang w:val="fr-CA"/>
        </w:rPr>
        <w:tab/>
      </w:r>
      <w:r w:rsidRPr="006F5107">
        <w:rPr>
          <w:rFonts w:asciiTheme="minorHAnsi" w:hAnsiTheme="minorHAnsi"/>
          <w:sz w:val="24"/>
          <w:szCs w:val="24"/>
          <w:lang w:val="fr-CA"/>
        </w:rPr>
        <w:tab/>
      </w:r>
      <w:r w:rsidRPr="006F5107">
        <w:rPr>
          <w:rFonts w:asciiTheme="minorHAnsi" w:hAnsiTheme="minorHAnsi"/>
          <w:sz w:val="24"/>
          <w:szCs w:val="24"/>
          <w:lang w:val="fr-CA"/>
        </w:rPr>
        <w:tab/>
      </w:r>
      <w:r w:rsidRPr="006F5107">
        <w:rPr>
          <w:rFonts w:asciiTheme="minorHAnsi" w:hAnsiTheme="minorHAnsi"/>
          <w:sz w:val="24"/>
          <w:szCs w:val="24"/>
          <w:lang w:val="fr-CA"/>
        </w:rPr>
        <w:tab/>
      </w:r>
      <w:r w:rsidRPr="006F5107">
        <w:rPr>
          <w:rFonts w:asciiTheme="minorHAnsi" w:hAnsiTheme="minorHAnsi"/>
          <w:sz w:val="24"/>
          <w:szCs w:val="24"/>
          <w:lang w:val="fr-CA"/>
        </w:rPr>
        <w:tab/>
      </w:r>
      <w:r w:rsidRPr="006F5107">
        <w:rPr>
          <w:rFonts w:asciiTheme="minorHAnsi" w:hAnsiTheme="minorHAnsi"/>
          <w:sz w:val="24"/>
          <w:szCs w:val="24"/>
          <w:lang w:val="fr-CA"/>
        </w:rPr>
        <w:tab/>
      </w:r>
      <w:r w:rsidRPr="006F5107">
        <w:rPr>
          <w:rFonts w:asciiTheme="minorHAnsi" w:hAnsiTheme="minorHAnsi"/>
          <w:sz w:val="24"/>
          <w:szCs w:val="24"/>
          <w:lang w:val="fr-CA"/>
        </w:rPr>
        <w:tab/>
        <w:t>Date</w:t>
      </w:r>
      <w:r w:rsidR="006F5107" w:rsidRPr="006F5107">
        <w:rPr>
          <w:rFonts w:asciiTheme="minorHAnsi" w:hAnsiTheme="minorHAnsi"/>
          <w:sz w:val="24"/>
          <w:szCs w:val="24"/>
          <w:lang w:val="fr-CA"/>
        </w:rPr>
        <w:t xml:space="preserve"> </w:t>
      </w:r>
      <w:proofErr w:type="gramStart"/>
      <w:r w:rsidRPr="006F5107">
        <w:rPr>
          <w:rFonts w:asciiTheme="minorHAnsi" w:hAnsiTheme="minorHAnsi"/>
          <w:sz w:val="24"/>
          <w:szCs w:val="24"/>
          <w:lang w:val="fr-CA"/>
        </w:rPr>
        <w:t>:_</w:t>
      </w:r>
      <w:proofErr w:type="gramEnd"/>
      <w:r w:rsidRPr="006F5107">
        <w:rPr>
          <w:rFonts w:asciiTheme="minorHAnsi" w:hAnsiTheme="minorHAnsi"/>
          <w:sz w:val="24"/>
          <w:szCs w:val="24"/>
          <w:lang w:val="fr-CA"/>
        </w:rPr>
        <w:t>________________</w:t>
      </w:r>
    </w:p>
    <w:p w14:paraId="103139A2" w14:textId="77777777" w:rsidR="00EF53C8" w:rsidRPr="006F5107" w:rsidRDefault="006F5107" w:rsidP="00EF53C8">
      <w:pPr>
        <w:rPr>
          <w:rFonts w:asciiTheme="minorHAnsi" w:hAnsiTheme="minorHAnsi"/>
          <w:sz w:val="24"/>
          <w:szCs w:val="24"/>
          <w:lang w:val="fr-CA"/>
        </w:rPr>
      </w:pPr>
      <w:r w:rsidRPr="006F5107">
        <w:rPr>
          <w:rFonts w:asciiTheme="minorHAnsi" w:hAnsiTheme="minorHAnsi"/>
          <w:sz w:val="24"/>
          <w:szCs w:val="24"/>
          <w:lang w:val="fr-CA"/>
        </w:rPr>
        <w:t xml:space="preserve">Docteur (ou Docteure) </w:t>
      </w:r>
      <w:r w:rsidR="00EF53C8" w:rsidRPr="006F5107">
        <w:rPr>
          <w:rFonts w:asciiTheme="minorHAnsi" w:hAnsiTheme="minorHAnsi"/>
          <w:sz w:val="24"/>
          <w:szCs w:val="24"/>
          <w:lang w:val="fr-CA"/>
        </w:rPr>
        <w:t>__________________,</w:t>
      </w:r>
    </w:p>
    <w:p w14:paraId="4B7CBD4D" w14:textId="77777777" w:rsidR="00EF53C8" w:rsidRPr="006F5107" w:rsidRDefault="00EF53C8" w:rsidP="00EF53C8">
      <w:pPr>
        <w:rPr>
          <w:rFonts w:asciiTheme="minorHAnsi" w:hAnsiTheme="minorHAnsi"/>
          <w:lang w:val="fr-CA"/>
        </w:rPr>
      </w:pPr>
    </w:p>
    <w:p w14:paraId="0B771312" w14:textId="0608271E" w:rsidR="00D83612" w:rsidRPr="006F5107" w:rsidRDefault="007F0CB8" w:rsidP="00EF53C8">
      <w:pPr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 xml:space="preserve">La présente lettre est une lettre de suivi </w:t>
      </w:r>
      <w:r w:rsidR="005B4BD1">
        <w:rPr>
          <w:rFonts w:asciiTheme="minorHAnsi" w:hAnsiTheme="minorHAnsi"/>
          <w:sz w:val="24"/>
          <w:szCs w:val="24"/>
          <w:lang w:val="fr-CA"/>
        </w:rPr>
        <w:t xml:space="preserve">du programme de </w:t>
      </w:r>
      <w:r w:rsidR="00ED7DA3">
        <w:rPr>
          <w:rFonts w:asciiTheme="minorHAnsi" w:hAnsiTheme="minorHAnsi"/>
          <w:sz w:val="24"/>
          <w:szCs w:val="24"/>
          <w:lang w:val="fr-CA"/>
        </w:rPr>
        <w:t>FLS</w:t>
      </w:r>
      <w:r w:rsidR="005B4BD1">
        <w:rPr>
          <w:rFonts w:asciiTheme="minorHAnsi" w:hAnsiTheme="minorHAnsi"/>
          <w:sz w:val="24"/>
          <w:szCs w:val="24"/>
          <w:lang w:val="fr-CA"/>
        </w:rPr>
        <w:t xml:space="preserve"> de </w:t>
      </w:r>
      <w:r w:rsidR="005B4BD1" w:rsidRPr="00ED7DA3">
        <w:rPr>
          <w:rFonts w:asciiTheme="minorHAnsi" w:hAnsiTheme="minorHAnsi"/>
          <w:sz w:val="24"/>
          <w:szCs w:val="24"/>
          <w:highlight w:val="yellow"/>
          <w:lang w:val="fr-CA"/>
        </w:rPr>
        <w:t xml:space="preserve">l’hôpital général de </w:t>
      </w:r>
      <w:r w:rsidR="006E0367" w:rsidRPr="006E0367">
        <w:rPr>
          <w:rFonts w:asciiTheme="minorHAnsi" w:hAnsiTheme="minorHAnsi"/>
          <w:sz w:val="24"/>
          <w:szCs w:val="24"/>
          <w:highlight w:val="yellow"/>
          <w:lang w:val="fr-CA"/>
        </w:rPr>
        <w:t>XXX</w:t>
      </w:r>
      <w:r w:rsidR="002745A4">
        <w:rPr>
          <w:rFonts w:asciiTheme="minorHAnsi" w:hAnsiTheme="minorHAnsi"/>
          <w:sz w:val="24"/>
          <w:szCs w:val="24"/>
          <w:lang w:val="fr-CA"/>
        </w:rPr>
        <w:t xml:space="preserve">. </w:t>
      </w:r>
      <w:r w:rsidR="006F5107" w:rsidRPr="006F5107">
        <w:rPr>
          <w:rFonts w:asciiTheme="minorHAnsi" w:hAnsiTheme="minorHAnsi"/>
          <w:sz w:val="24"/>
          <w:szCs w:val="24"/>
          <w:lang w:val="fr-CA"/>
        </w:rPr>
        <w:t>Un test de</w:t>
      </w:r>
      <w:r w:rsidR="00D83612" w:rsidRPr="006F5107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6F5107" w:rsidRPr="006F5107">
        <w:rPr>
          <w:rFonts w:asciiTheme="minorHAnsi" w:hAnsiTheme="minorHAnsi"/>
          <w:sz w:val="24"/>
          <w:szCs w:val="24"/>
          <w:lang w:val="fr-CA"/>
        </w:rPr>
        <w:t>DMO a été effectué et montre un score T de</w:t>
      </w:r>
      <w:r w:rsidR="00D83612" w:rsidRPr="006F5107">
        <w:rPr>
          <w:rFonts w:asciiTheme="minorHAnsi" w:hAnsiTheme="minorHAnsi"/>
          <w:sz w:val="24"/>
          <w:szCs w:val="24"/>
          <w:lang w:val="fr-CA"/>
        </w:rPr>
        <w:t xml:space="preserve"> _________ </w:t>
      </w:r>
      <w:r w:rsidR="006F5107">
        <w:rPr>
          <w:rFonts w:asciiTheme="minorHAnsi" w:hAnsiTheme="minorHAnsi"/>
          <w:sz w:val="24"/>
          <w:szCs w:val="24"/>
          <w:lang w:val="fr-CA"/>
        </w:rPr>
        <w:t>au col du fémur</w:t>
      </w:r>
      <w:r w:rsidR="00D83612" w:rsidRPr="006F5107">
        <w:rPr>
          <w:rFonts w:asciiTheme="minorHAnsi" w:hAnsiTheme="minorHAnsi"/>
          <w:sz w:val="24"/>
          <w:szCs w:val="24"/>
          <w:lang w:val="fr-CA"/>
        </w:rPr>
        <w:t xml:space="preserve">. </w:t>
      </w:r>
      <w:r w:rsidR="006F5107">
        <w:rPr>
          <w:rFonts w:asciiTheme="minorHAnsi" w:hAnsiTheme="minorHAnsi"/>
          <w:sz w:val="24"/>
          <w:szCs w:val="24"/>
          <w:lang w:val="fr-CA"/>
        </w:rPr>
        <w:t>Des radiographies de la colonne ont également été effectuées. À l’examen, elles ne révèlent aucun signe de fracture vertébrale importante</w:t>
      </w:r>
      <w:r w:rsidR="00F711D4">
        <w:rPr>
          <w:rFonts w:asciiTheme="minorHAnsi" w:hAnsiTheme="minorHAnsi"/>
          <w:sz w:val="24"/>
          <w:szCs w:val="24"/>
          <w:lang w:val="fr-CA"/>
        </w:rPr>
        <w:t>.</w:t>
      </w:r>
    </w:p>
    <w:p w14:paraId="72235E78" w14:textId="77777777" w:rsidR="00D83612" w:rsidRPr="006F5107" w:rsidRDefault="00D83612" w:rsidP="00EF53C8">
      <w:pPr>
        <w:rPr>
          <w:rFonts w:asciiTheme="minorHAnsi" w:hAnsiTheme="minorHAnsi"/>
          <w:sz w:val="24"/>
          <w:szCs w:val="24"/>
          <w:lang w:val="fr-CA"/>
        </w:rPr>
      </w:pPr>
    </w:p>
    <w:p w14:paraId="51EC25FE" w14:textId="70B337DB" w:rsidR="00EF53C8" w:rsidRPr="006F5107" w:rsidRDefault="00716F76" w:rsidP="00EF53C8">
      <w:pPr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D’après l’historique clinique et les résultats des tests de DMO</w:t>
      </w:r>
      <w:r w:rsidR="00EF53C8" w:rsidRPr="006F5107">
        <w:rPr>
          <w:rFonts w:asciiTheme="minorHAnsi" w:hAnsiTheme="minorHAnsi"/>
          <w:sz w:val="24"/>
          <w:szCs w:val="24"/>
          <w:lang w:val="fr-CA"/>
        </w:rPr>
        <w:t xml:space="preserve">, </w:t>
      </w:r>
      <w:r>
        <w:rPr>
          <w:rFonts w:asciiTheme="minorHAnsi" w:hAnsiTheme="minorHAnsi"/>
          <w:sz w:val="24"/>
          <w:szCs w:val="24"/>
          <w:lang w:val="fr-CA"/>
        </w:rPr>
        <w:t xml:space="preserve">votre </w:t>
      </w:r>
      <w:r w:rsidR="00EF53C8" w:rsidRPr="006F5107">
        <w:rPr>
          <w:rFonts w:asciiTheme="minorHAnsi" w:hAnsiTheme="minorHAnsi"/>
          <w:sz w:val="24"/>
          <w:szCs w:val="24"/>
          <w:lang w:val="fr-CA"/>
        </w:rPr>
        <w:t xml:space="preserve">patient </w:t>
      </w:r>
      <w:r>
        <w:rPr>
          <w:rFonts w:asciiTheme="minorHAnsi" w:hAnsiTheme="minorHAnsi"/>
          <w:sz w:val="24"/>
          <w:szCs w:val="24"/>
          <w:lang w:val="fr-CA"/>
        </w:rPr>
        <w:t xml:space="preserve">est considéré comme présentant un </w:t>
      </w:r>
      <w:r>
        <w:rPr>
          <w:rFonts w:asciiTheme="minorHAnsi" w:hAnsiTheme="minorHAnsi"/>
          <w:b/>
          <w:sz w:val="24"/>
          <w:szCs w:val="24"/>
          <w:lang w:val="fr-CA"/>
        </w:rPr>
        <w:t xml:space="preserve">RISQUE MODÉRÉ </w:t>
      </w:r>
      <w:r>
        <w:rPr>
          <w:rFonts w:asciiTheme="minorHAnsi" w:hAnsiTheme="minorHAnsi"/>
          <w:sz w:val="24"/>
          <w:szCs w:val="24"/>
          <w:lang w:val="fr-CA"/>
        </w:rPr>
        <w:t>de fractures répétées</w:t>
      </w:r>
      <w:r w:rsidR="00EF53C8" w:rsidRPr="006F5107">
        <w:rPr>
          <w:rFonts w:asciiTheme="minorHAnsi" w:hAnsiTheme="minorHAnsi"/>
          <w:sz w:val="24"/>
          <w:szCs w:val="24"/>
          <w:lang w:val="fr-CA"/>
        </w:rPr>
        <w:t>.</w:t>
      </w:r>
    </w:p>
    <w:p w14:paraId="6B7A599D" w14:textId="77777777" w:rsidR="00EF53C8" w:rsidRPr="006F5107" w:rsidRDefault="00EF53C8" w:rsidP="00EF53C8">
      <w:pPr>
        <w:rPr>
          <w:rFonts w:asciiTheme="minorHAnsi" w:hAnsiTheme="minorHAnsi"/>
          <w:sz w:val="24"/>
          <w:szCs w:val="24"/>
          <w:lang w:val="fr-CA"/>
        </w:rPr>
      </w:pPr>
    </w:p>
    <w:p w14:paraId="4FCCBBCB" w14:textId="2FDD75DF" w:rsidR="00EF53C8" w:rsidRPr="006F5107" w:rsidRDefault="00716F76" w:rsidP="00EF53C8">
      <w:pPr>
        <w:rPr>
          <w:rFonts w:asciiTheme="minorHAnsi" w:hAnsiTheme="minorHAnsi"/>
          <w:i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 xml:space="preserve">Nous vous proposons ci-dessous des recommandations générales pour les patients à RISQUE MODÉRÉ. Celles-ci sont tirées des </w:t>
      </w:r>
      <w:r w:rsidRPr="00DC04E7">
        <w:rPr>
          <w:rFonts w:asciiTheme="minorHAnsi" w:hAnsiTheme="minorHAnsi"/>
          <w:i/>
          <w:sz w:val="24"/>
          <w:szCs w:val="24"/>
          <w:lang w:val="fr-CA"/>
        </w:rPr>
        <w:t>Lignes directrices de pratique clinique 2010 pour le diagnostic et le traitement de l’ostéoporose au Canada</w:t>
      </w:r>
      <w:r w:rsidR="00C9235F">
        <w:rPr>
          <w:rFonts w:asciiTheme="minorHAnsi" w:hAnsiTheme="minorHAnsi"/>
          <w:i/>
          <w:sz w:val="24"/>
          <w:szCs w:val="24"/>
          <w:lang w:val="fr-CA"/>
        </w:rPr>
        <w:t xml:space="preserve"> (CMAJ, o</w:t>
      </w:r>
      <w:r w:rsidRPr="00CD0CB1">
        <w:rPr>
          <w:rFonts w:asciiTheme="minorHAnsi" w:hAnsiTheme="minorHAnsi"/>
          <w:i/>
          <w:sz w:val="24"/>
          <w:szCs w:val="24"/>
          <w:lang w:val="fr-CA"/>
        </w:rPr>
        <w:t>ct. 2010)</w:t>
      </w:r>
      <w:r w:rsidR="00C9235F">
        <w:rPr>
          <w:rFonts w:asciiTheme="minorHAnsi" w:hAnsiTheme="minorHAnsi"/>
          <w:i/>
          <w:sz w:val="24"/>
          <w:szCs w:val="24"/>
          <w:lang w:val="fr-CA"/>
        </w:rPr>
        <w:t xml:space="preserve"> </w:t>
      </w:r>
      <w:r w:rsidR="00C9235F">
        <w:rPr>
          <w:rFonts w:asciiTheme="minorHAnsi" w:hAnsiTheme="minorHAnsi"/>
          <w:sz w:val="24"/>
          <w:szCs w:val="24"/>
          <w:lang w:val="fr-CA"/>
        </w:rPr>
        <w:t>d’Ostéoporose Canada</w:t>
      </w:r>
      <w:r>
        <w:rPr>
          <w:rFonts w:asciiTheme="minorHAnsi" w:hAnsiTheme="minorHAnsi"/>
          <w:i/>
          <w:sz w:val="24"/>
          <w:szCs w:val="24"/>
          <w:lang w:val="fr-CA"/>
        </w:rPr>
        <w:t> :</w:t>
      </w:r>
    </w:p>
    <w:p w14:paraId="7C4D39FA" w14:textId="77777777" w:rsidR="00F8139B" w:rsidRPr="006F5107" w:rsidRDefault="00F8139B" w:rsidP="00EF53C8">
      <w:pPr>
        <w:rPr>
          <w:rFonts w:asciiTheme="minorHAnsi" w:hAnsiTheme="minorHAnsi"/>
          <w:i/>
          <w:sz w:val="24"/>
          <w:szCs w:val="24"/>
          <w:lang w:val="fr-CA"/>
        </w:rPr>
      </w:pPr>
    </w:p>
    <w:p w14:paraId="39B626DA" w14:textId="3C27B0CD" w:rsidR="00EF53C8" w:rsidRPr="006F5107" w:rsidRDefault="007F0CB8" w:rsidP="00607049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plupart des</w:t>
      </w:r>
      <w:r w:rsidR="00EF53C8" w:rsidRPr="006F5107">
        <w:rPr>
          <w:sz w:val="24"/>
          <w:szCs w:val="24"/>
          <w:lang w:val="fr-CA"/>
        </w:rPr>
        <w:t xml:space="preserve"> patients </w:t>
      </w:r>
      <w:r>
        <w:rPr>
          <w:sz w:val="24"/>
          <w:szCs w:val="24"/>
          <w:lang w:val="fr-CA"/>
        </w:rPr>
        <w:t>à</w:t>
      </w:r>
      <w:r w:rsidR="00EF53C8" w:rsidRPr="006F510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RISQUE M</w:t>
      </w:r>
      <w:r w:rsidR="00EF53C8" w:rsidRPr="006F5107">
        <w:rPr>
          <w:sz w:val="24"/>
          <w:szCs w:val="24"/>
          <w:lang w:val="fr-CA"/>
        </w:rPr>
        <w:t>OD</w:t>
      </w:r>
      <w:r>
        <w:rPr>
          <w:sz w:val="24"/>
          <w:szCs w:val="24"/>
          <w:lang w:val="fr-CA"/>
        </w:rPr>
        <w:t>ÉRÉ n’ont pas besoin de traitement contre l’ostéoporose</w:t>
      </w:r>
      <w:r w:rsidR="00EF53C8" w:rsidRPr="006F5107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fr-CA"/>
        </w:rPr>
        <w:t>Dans bon nombre de cas</w:t>
      </w:r>
      <w:r w:rsidR="00EF53C8" w:rsidRPr="006F5107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 xml:space="preserve">un </w:t>
      </w:r>
      <w:r w:rsidR="00EF53C8" w:rsidRPr="006F5107">
        <w:rPr>
          <w:sz w:val="24"/>
          <w:szCs w:val="24"/>
          <w:lang w:val="fr-CA"/>
        </w:rPr>
        <w:t xml:space="preserve">simple </w:t>
      </w:r>
      <w:r>
        <w:rPr>
          <w:sz w:val="24"/>
          <w:szCs w:val="24"/>
          <w:lang w:val="fr-CA"/>
        </w:rPr>
        <w:t xml:space="preserve">suivi est suffisant </w:t>
      </w:r>
      <w:r w:rsidR="00EF53C8" w:rsidRPr="006F5107">
        <w:rPr>
          <w:sz w:val="24"/>
          <w:szCs w:val="24"/>
          <w:lang w:val="fr-CA"/>
        </w:rPr>
        <w:t>(</w:t>
      </w:r>
      <w:r>
        <w:rPr>
          <w:sz w:val="24"/>
          <w:szCs w:val="24"/>
          <w:lang w:val="fr-CA"/>
        </w:rPr>
        <w:t>mesure annuelle de la taille et test de DMO répété tous les 1 à 3 ans</w:t>
      </w:r>
      <w:r w:rsidR="00EF53C8" w:rsidRPr="006F5107">
        <w:rPr>
          <w:sz w:val="24"/>
          <w:szCs w:val="24"/>
          <w:lang w:val="fr-CA"/>
        </w:rPr>
        <w:t>).</w:t>
      </w:r>
    </w:p>
    <w:p w14:paraId="1BFD5CED" w14:textId="77777777" w:rsidR="00EF53C8" w:rsidRPr="006F5107" w:rsidRDefault="00EF53C8" w:rsidP="00607049">
      <w:pPr>
        <w:pStyle w:val="ListParagraph"/>
        <w:spacing w:line="240" w:lineRule="auto"/>
        <w:rPr>
          <w:i/>
          <w:sz w:val="24"/>
          <w:szCs w:val="24"/>
          <w:lang w:val="fr-CA"/>
        </w:rPr>
      </w:pPr>
    </w:p>
    <w:p w14:paraId="61E2C0DE" w14:textId="0E9DE926" w:rsidR="00EF53C8" w:rsidRPr="006F5107" w:rsidRDefault="00EF53C8" w:rsidP="00EF53C8">
      <w:pPr>
        <w:pStyle w:val="ListParagraph"/>
        <w:numPr>
          <w:ilvl w:val="0"/>
          <w:numId w:val="1"/>
        </w:numPr>
        <w:rPr>
          <w:i/>
          <w:sz w:val="24"/>
          <w:szCs w:val="24"/>
          <w:lang w:val="fr-CA"/>
        </w:rPr>
      </w:pPr>
      <w:r w:rsidRPr="006F5107">
        <w:rPr>
          <w:sz w:val="24"/>
          <w:szCs w:val="24"/>
          <w:lang w:val="fr-CA"/>
        </w:rPr>
        <w:t>Fact</w:t>
      </w:r>
      <w:r w:rsidR="007F0CB8">
        <w:rPr>
          <w:sz w:val="24"/>
          <w:szCs w:val="24"/>
          <w:lang w:val="fr-CA"/>
        </w:rPr>
        <w:t>eu</w:t>
      </w:r>
      <w:r w:rsidRPr="006F5107">
        <w:rPr>
          <w:sz w:val="24"/>
          <w:szCs w:val="24"/>
          <w:lang w:val="fr-CA"/>
        </w:rPr>
        <w:t xml:space="preserve">rs </w:t>
      </w:r>
      <w:r w:rsidR="007F0CB8">
        <w:rPr>
          <w:sz w:val="24"/>
          <w:szCs w:val="24"/>
          <w:lang w:val="fr-CA"/>
        </w:rPr>
        <w:t>qui peuvent justifier le recours à une pharmacothérapie :</w:t>
      </w:r>
    </w:p>
    <w:p w14:paraId="530DFD82" w14:textId="29665636" w:rsidR="00EF53C8" w:rsidRPr="0045375C" w:rsidRDefault="0045375C" w:rsidP="0045375C">
      <w:pPr>
        <w:pStyle w:val="ListParagraph"/>
        <w:numPr>
          <w:ilvl w:val="1"/>
          <w:numId w:val="3"/>
        </w:numPr>
        <w:spacing w:line="240" w:lineRule="auto"/>
        <w:rPr>
          <w:i/>
          <w:sz w:val="24"/>
          <w:szCs w:val="24"/>
          <w:lang w:val="fr-CA"/>
        </w:rPr>
      </w:pPr>
      <w:r w:rsidRPr="0045375C">
        <w:rPr>
          <w:sz w:val="24"/>
          <w:szCs w:val="24"/>
          <w:lang w:val="fr-CA"/>
        </w:rPr>
        <w:t xml:space="preserve">Fracture(s) vertébrale(s) observée(s) à </w:t>
      </w:r>
      <w:r>
        <w:rPr>
          <w:sz w:val="24"/>
          <w:szCs w:val="24"/>
          <w:lang w:val="fr-CA"/>
        </w:rPr>
        <w:t>l</w:t>
      </w:r>
      <w:r w:rsidRPr="0045375C">
        <w:rPr>
          <w:sz w:val="24"/>
          <w:szCs w:val="24"/>
          <w:lang w:val="fr-CA"/>
        </w:rPr>
        <w:t xml:space="preserve">a radiographie latérale de la colonne vertébrale </w:t>
      </w:r>
      <w:r w:rsidR="00EF53C8" w:rsidRPr="0045375C">
        <w:rPr>
          <w:sz w:val="24"/>
          <w:szCs w:val="24"/>
          <w:lang w:val="fr-CA"/>
        </w:rPr>
        <w:t>(</w:t>
      </w:r>
      <w:r>
        <w:rPr>
          <w:b/>
          <w:sz w:val="24"/>
          <w:szCs w:val="24"/>
          <w:lang w:val="fr-CA"/>
        </w:rPr>
        <w:t>cet</w:t>
      </w:r>
      <w:r w:rsidR="00852C06">
        <w:rPr>
          <w:b/>
          <w:sz w:val="24"/>
          <w:szCs w:val="24"/>
          <w:lang w:val="fr-CA"/>
        </w:rPr>
        <w:t>te possibilité a déjà été exclu</w:t>
      </w:r>
      <w:r>
        <w:rPr>
          <w:b/>
          <w:sz w:val="24"/>
          <w:szCs w:val="24"/>
          <w:lang w:val="fr-CA"/>
        </w:rPr>
        <w:t>e pour ce patient</w:t>
      </w:r>
      <w:r w:rsidR="00EF53C8" w:rsidRPr="0045375C">
        <w:rPr>
          <w:sz w:val="24"/>
          <w:szCs w:val="24"/>
          <w:lang w:val="fr-CA"/>
        </w:rPr>
        <w:t>)</w:t>
      </w:r>
    </w:p>
    <w:p w14:paraId="5AC33D8A" w14:textId="51D43A2D" w:rsidR="00EF53C8" w:rsidRPr="0045375C" w:rsidRDefault="0045375C" w:rsidP="0045375C">
      <w:pPr>
        <w:pStyle w:val="ListParagraph"/>
        <w:numPr>
          <w:ilvl w:val="1"/>
          <w:numId w:val="3"/>
        </w:numPr>
        <w:spacing w:line="240" w:lineRule="auto"/>
        <w:rPr>
          <w:i/>
          <w:sz w:val="24"/>
          <w:szCs w:val="24"/>
          <w:lang w:val="fr-CA"/>
        </w:rPr>
      </w:pPr>
      <w:r w:rsidRPr="0045375C">
        <w:rPr>
          <w:sz w:val="24"/>
          <w:szCs w:val="24"/>
          <w:lang w:val="fr-CA"/>
        </w:rPr>
        <w:t>Antécédent de fracture du poignet chez des personnes</w:t>
      </w:r>
      <w:r>
        <w:rPr>
          <w:sz w:val="24"/>
          <w:szCs w:val="24"/>
          <w:lang w:val="fr-CA"/>
        </w:rPr>
        <w:t xml:space="preserve"> </w:t>
      </w:r>
      <w:r w:rsidRPr="0045375C">
        <w:rPr>
          <w:sz w:val="24"/>
          <w:szCs w:val="24"/>
          <w:lang w:val="fr-CA"/>
        </w:rPr>
        <w:t>de plus de 65 ans ou dont le score</w:t>
      </w:r>
      <w:r>
        <w:rPr>
          <w:sz w:val="24"/>
          <w:szCs w:val="24"/>
          <w:lang w:val="fr-CA"/>
        </w:rPr>
        <w:t xml:space="preserve"> T</w:t>
      </w:r>
      <w:r w:rsidRPr="0045375C">
        <w:rPr>
          <w:sz w:val="24"/>
          <w:szCs w:val="24"/>
          <w:lang w:val="fr-CA"/>
        </w:rPr>
        <w:t xml:space="preserve"> est ≤ -2,</w:t>
      </w:r>
      <w:r>
        <w:rPr>
          <w:sz w:val="24"/>
          <w:szCs w:val="24"/>
          <w:lang w:val="fr-CA"/>
        </w:rPr>
        <w:t>5</w:t>
      </w:r>
    </w:p>
    <w:p w14:paraId="0F1CC4C2" w14:textId="293A549A" w:rsidR="00EF53C8" w:rsidRPr="0045375C" w:rsidRDefault="0045375C" w:rsidP="0045375C">
      <w:pPr>
        <w:pStyle w:val="ListParagraph"/>
        <w:numPr>
          <w:ilvl w:val="1"/>
          <w:numId w:val="3"/>
        </w:numPr>
        <w:spacing w:line="240" w:lineRule="auto"/>
        <w:rPr>
          <w:i/>
          <w:sz w:val="24"/>
          <w:szCs w:val="24"/>
          <w:lang w:val="fr-CA"/>
        </w:rPr>
      </w:pPr>
      <w:r w:rsidRPr="0045375C">
        <w:rPr>
          <w:sz w:val="24"/>
          <w:szCs w:val="24"/>
          <w:lang w:val="fr-CA"/>
        </w:rPr>
        <w:t xml:space="preserve">Score </w:t>
      </w:r>
      <w:r>
        <w:rPr>
          <w:sz w:val="24"/>
          <w:szCs w:val="24"/>
          <w:lang w:val="fr-CA"/>
        </w:rPr>
        <w:t xml:space="preserve">T </w:t>
      </w:r>
      <w:r w:rsidRPr="0045375C">
        <w:rPr>
          <w:sz w:val="24"/>
          <w:szCs w:val="24"/>
          <w:lang w:val="fr-CA"/>
        </w:rPr>
        <w:t>de la colonne lombaire de loin inférieur</w:t>
      </w:r>
      <w:r>
        <w:rPr>
          <w:sz w:val="24"/>
          <w:szCs w:val="24"/>
          <w:lang w:val="fr-CA"/>
        </w:rPr>
        <w:t xml:space="preserve"> </w:t>
      </w:r>
      <w:r w:rsidRPr="0045375C">
        <w:rPr>
          <w:sz w:val="24"/>
          <w:szCs w:val="24"/>
          <w:lang w:val="fr-CA"/>
        </w:rPr>
        <w:t xml:space="preserve">au </w:t>
      </w:r>
      <w:r>
        <w:rPr>
          <w:sz w:val="24"/>
          <w:szCs w:val="24"/>
          <w:lang w:val="fr-CA"/>
        </w:rPr>
        <w:t>s</w:t>
      </w:r>
      <w:r w:rsidRPr="0045375C">
        <w:rPr>
          <w:sz w:val="24"/>
          <w:szCs w:val="24"/>
          <w:lang w:val="fr-CA"/>
        </w:rPr>
        <w:t xml:space="preserve">core </w:t>
      </w:r>
      <w:r>
        <w:rPr>
          <w:sz w:val="24"/>
          <w:szCs w:val="24"/>
          <w:lang w:val="fr-CA"/>
        </w:rPr>
        <w:t xml:space="preserve">T </w:t>
      </w:r>
      <w:r w:rsidRPr="0045375C">
        <w:rPr>
          <w:sz w:val="24"/>
          <w:szCs w:val="24"/>
          <w:lang w:val="fr-CA"/>
        </w:rPr>
        <w:t xml:space="preserve">du col fémoral </w:t>
      </w:r>
    </w:p>
    <w:p w14:paraId="1981B24C" w14:textId="77777777" w:rsidR="0045375C" w:rsidRPr="0045375C" w:rsidRDefault="0045375C" w:rsidP="0045375C">
      <w:pPr>
        <w:pStyle w:val="ListParagraph"/>
        <w:numPr>
          <w:ilvl w:val="1"/>
          <w:numId w:val="3"/>
        </w:numPr>
        <w:spacing w:line="240" w:lineRule="auto"/>
        <w:rPr>
          <w:i/>
          <w:sz w:val="24"/>
          <w:szCs w:val="24"/>
          <w:lang w:val="fr-CA"/>
        </w:rPr>
      </w:pPr>
      <w:r w:rsidRPr="0045375C">
        <w:rPr>
          <w:sz w:val="24"/>
          <w:szCs w:val="24"/>
          <w:lang w:val="fr-CA"/>
        </w:rPr>
        <w:t xml:space="preserve">Perte osseuse rapide </w:t>
      </w:r>
    </w:p>
    <w:p w14:paraId="4F552599" w14:textId="77777777" w:rsidR="0045375C" w:rsidRPr="0045375C" w:rsidRDefault="0045375C" w:rsidP="0045375C">
      <w:pPr>
        <w:pStyle w:val="ListParagraph"/>
        <w:numPr>
          <w:ilvl w:val="1"/>
          <w:numId w:val="3"/>
        </w:numPr>
        <w:spacing w:line="240" w:lineRule="auto"/>
        <w:rPr>
          <w:i/>
          <w:sz w:val="24"/>
          <w:szCs w:val="24"/>
          <w:lang w:val="fr-CA"/>
        </w:rPr>
      </w:pPr>
      <w:r w:rsidRPr="0045375C">
        <w:rPr>
          <w:sz w:val="24"/>
          <w:szCs w:val="24"/>
          <w:lang w:val="fr-CA"/>
        </w:rPr>
        <w:t xml:space="preserve">Hommes sous traitement </w:t>
      </w:r>
      <w:proofErr w:type="spellStart"/>
      <w:r w:rsidRPr="0045375C">
        <w:rPr>
          <w:sz w:val="24"/>
          <w:szCs w:val="24"/>
          <w:lang w:val="fr-CA"/>
        </w:rPr>
        <w:t>androgénosuppressif</w:t>
      </w:r>
      <w:proofErr w:type="spellEnd"/>
      <w:r w:rsidRPr="0045375C">
        <w:rPr>
          <w:sz w:val="24"/>
          <w:szCs w:val="24"/>
          <w:lang w:val="fr-CA"/>
        </w:rPr>
        <w:t xml:space="preserve"> pour</w:t>
      </w:r>
      <w:r>
        <w:rPr>
          <w:sz w:val="24"/>
          <w:szCs w:val="24"/>
          <w:lang w:val="fr-CA"/>
        </w:rPr>
        <w:t xml:space="preserve"> </w:t>
      </w:r>
      <w:r w:rsidRPr="0045375C">
        <w:rPr>
          <w:sz w:val="24"/>
          <w:szCs w:val="24"/>
          <w:lang w:val="fr-CA"/>
        </w:rPr>
        <w:t>un cancer de la prostate</w:t>
      </w:r>
    </w:p>
    <w:p w14:paraId="21C4DFCB" w14:textId="77777777" w:rsidR="0045375C" w:rsidRPr="0045375C" w:rsidRDefault="0045375C" w:rsidP="0045375C">
      <w:pPr>
        <w:pStyle w:val="ListParagraph"/>
        <w:numPr>
          <w:ilvl w:val="1"/>
          <w:numId w:val="3"/>
        </w:numPr>
        <w:spacing w:line="240" w:lineRule="auto"/>
        <w:rPr>
          <w:i/>
          <w:sz w:val="24"/>
          <w:szCs w:val="24"/>
          <w:lang w:val="fr-CA"/>
        </w:rPr>
      </w:pPr>
      <w:r w:rsidRPr="0045375C">
        <w:rPr>
          <w:sz w:val="24"/>
          <w:szCs w:val="24"/>
          <w:lang w:val="fr-CA"/>
        </w:rPr>
        <w:t>Femmes sous traitement par inhibiteur de l’aromatase pour</w:t>
      </w:r>
      <w:r>
        <w:rPr>
          <w:sz w:val="24"/>
          <w:szCs w:val="24"/>
          <w:lang w:val="fr-CA"/>
        </w:rPr>
        <w:t xml:space="preserve"> </w:t>
      </w:r>
      <w:r w:rsidRPr="0045375C">
        <w:rPr>
          <w:sz w:val="24"/>
          <w:szCs w:val="24"/>
          <w:lang w:val="fr-CA"/>
        </w:rPr>
        <w:t>un cancer du sein</w:t>
      </w:r>
    </w:p>
    <w:p w14:paraId="4B731266" w14:textId="35B6C3EC" w:rsidR="00EF53C8" w:rsidRPr="0045375C" w:rsidRDefault="0045375C" w:rsidP="0045375C">
      <w:pPr>
        <w:pStyle w:val="ListParagraph"/>
        <w:numPr>
          <w:ilvl w:val="1"/>
          <w:numId w:val="3"/>
        </w:numPr>
        <w:spacing w:line="240" w:lineRule="auto"/>
        <w:rPr>
          <w:i/>
          <w:sz w:val="24"/>
          <w:szCs w:val="24"/>
          <w:lang w:val="fr-CA"/>
        </w:rPr>
      </w:pPr>
      <w:r w:rsidRPr="0045375C">
        <w:rPr>
          <w:sz w:val="24"/>
          <w:szCs w:val="24"/>
          <w:lang w:val="fr-CA"/>
        </w:rPr>
        <w:t xml:space="preserve">Emploi prolongé ou répété de </w:t>
      </w:r>
      <w:r w:rsidR="00786156">
        <w:rPr>
          <w:sz w:val="24"/>
          <w:szCs w:val="24"/>
          <w:lang w:val="fr-CA"/>
        </w:rPr>
        <w:t>glucocortico</w:t>
      </w:r>
      <w:r w:rsidRPr="0045375C">
        <w:rPr>
          <w:sz w:val="24"/>
          <w:szCs w:val="24"/>
          <w:lang w:val="fr-CA"/>
        </w:rPr>
        <w:t>ïdes systémiques (par voie orale ou parentérale) ne répondant pas aux critères classiques d’emploi récent et prolongé</w:t>
      </w:r>
      <w:r>
        <w:rPr>
          <w:sz w:val="24"/>
          <w:szCs w:val="24"/>
          <w:lang w:val="fr-CA"/>
        </w:rPr>
        <w:t xml:space="preserve"> </w:t>
      </w:r>
      <w:r w:rsidRPr="0045375C">
        <w:rPr>
          <w:sz w:val="24"/>
          <w:szCs w:val="24"/>
          <w:lang w:val="fr-CA"/>
        </w:rPr>
        <w:t xml:space="preserve">de </w:t>
      </w:r>
      <w:r w:rsidR="00047820">
        <w:rPr>
          <w:sz w:val="24"/>
          <w:szCs w:val="24"/>
          <w:lang w:val="fr-CA"/>
        </w:rPr>
        <w:t>glucocortico</w:t>
      </w:r>
      <w:r w:rsidRPr="0045375C">
        <w:rPr>
          <w:sz w:val="24"/>
          <w:szCs w:val="24"/>
          <w:lang w:val="fr-CA"/>
        </w:rPr>
        <w:t>ïdes systémiques</w:t>
      </w:r>
    </w:p>
    <w:p w14:paraId="138A013C" w14:textId="77777777" w:rsidR="0045375C" w:rsidRPr="0045375C" w:rsidRDefault="0045375C" w:rsidP="0045375C">
      <w:pPr>
        <w:pStyle w:val="ListParagraph"/>
        <w:numPr>
          <w:ilvl w:val="1"/>
          <w:numId w:val="3"/>
        </w:numPr>
        <w:spacing w:line="240" w:lineRule="auto"/>
        <w:rPr>
          <w:i/>
          <w:sz w:val="24"/>
          <w:szCs w:val="24"/>
          <w:lang w:val="fr-CA"/>
        </w:rPr>
      </w:pPr>
      <w:r w:rsidRPr="0045375C">
        <w:rPr>
          <w:sz w:val="24"/>
          <w:szCs w:val="24"/>
          <w:lang w:val="fr-CA"/>
        </w:rPr>
        <w:t>Chutes récurrentes définies par deux chutes ou plus</w:t>
      </w:r>
      <w:r>
        <w:rPr>
          <w:sz w:val="24"/>
          <w:szCs w:val="24"/>
          <w:lang w:val="fr-CA"/>
        </w:rPr>
        <w:t xml:space="preserve"> </w:t>
      </w:r>
      <w:r w:rsidRPr="0045375C">
        <w:rPr>
          <w:sz w:val="24"/>
          <w:szCs w:val="24"/>
          <w:lang w:val="fr-CA"/>
        </w:rPr>
        <w:t xml:space="preserve">au cours des 12 derniers mois </w:t>
      </w:r>
    </w:p>
    <w:p w14:paraId="41EB554B" w14:textId="7C5AA03C" w:rsidR="00EF53C8" w:rsidRPr="0045375C" w:rsidRDefault="0045375C" w:rsidP="0045375C">
      <w:pPr>
        <w:pStyle w:val="ListParagraph"/>
        <w:numPr>
          <w:ilvl w:val="1"/>
          <w:numId w:val="3"/>
        </w:numPr>
        <w:spacing w:line="240" w:lineRule="auto"/>
        <w:rPr>
          <w:i/>
          <w:sz w:val="24"/>
          <w:szCs w:val="24"/>
          <w:lang w:val="fr-CA"/>
        </w:rPr>
      </w:pPr>
      <w:r w:rsidRPr="0045375C">
        <w:rPr>
          <w:sz w:val="24"/>
          <w:szCs w:val="24"/>
          <w:lang w:val="fr-CA"/>
        </w:rPr>
        <w:t>Autres problèmes de santé étroitement liés à l’ostéoporose,</w:t>
      </w:r>
      <w:r>
        <w:rPr>
          <w:sz w:val="24"/>
          <w:szCs w:val="24"/>
          <w:lang w:val="fr-CA"/>
        </w:rPr>
        <w:t xml:space="preserve"> </w:t>
      </w:r>
      <w:r w:rsidRPr="0045375C">
        <w:rPr>
          <w:sz w:val="24"/>
          <w:szCs w:val="24"/>
          <w:lang w:val="fr-CA"/>
        </w:rPr>
        <w:t>à une perte osseuse rapide ou aux fractures</w:t>
      </w:r>
      <w:r w:rsidR="00EF53C8" w:rsidRPr="0045375C">
        <w:rPr>
          <w:sz w:val="24"/>
          <w:szCs w:val="24"/>
          <w:lang w:val="fr-CA"/>
        </w:rPr>
        <w:t>.</w:t>
      </w:r>
    </w:p>
    <w:p w14:paraId="7C33F995" w14:textId="77777777" w:rsidR="00D83612" w:rsidRPr="006F5107" w:rsidRDefault="00D83612" w:rsidP="00D83612">
      <w:pPr>
        <w:pStyle w:val="ListParagraph"/>
        <w:spacing w:line="240" w:lineRule="auto"/>
        <w:ind w:left="1440"/>
        <w:rPr>
          <w:i/>
          <w:sz w:val="24"/>
          <w:szCs w:val="24"/>
          <w:lang w:val="fr-CA"/>
        </w:rPr>
      </w:pPr>
    </w:p>
    <w:p w14:paraId="70FAB313" w14:textId="355B5FA9" w:rsidR="00D83612" w:rsidRPr="006F5107" w:rsidRDefault="0045375C" w:rsidP="00D83612">
      <w:pPr>
        <w:pStyle w:val="ListParagraph"/>
        <w:numPr>
          <w:ilvl w:val="0"/>
          <w:numId w:val="3"/>
        </w:numPr>
        <w:spacing w:line="240" w:lineRule="auto"/>
        <w:rPr>
          <w:i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Avant d’entreprendre un traitement, un jugement clinique est requis pour ces patients</w:t>
      </w:r>
      <w:r w:rsidR="00D83612" w:rsidRPr="006F5107">
        <w:rPr>
          <w:sz w:val="24"/>
          <w:szCs w:val="24"/>
          <w:lang w:val="fr-CA"/>
        </w:rPr>
        <w:t>.</w:t>
      </w:r>
    </w:p>
    <w:p w14:paraId="5CB4DA1C" w14:textId="77777777" w:rsidR="00EF53C8" w:rsidRPr="006F5107" w:rsidRDefault="00EF53C8" w:rsidP="00EF53C8">
      <w:pPr>
        <w:rPr>
          <w:i/>
          <w:sz w:val="24"/>
          <w:szCs w:val="24"/>
          <w:lang w:val="fr-CA"/>
        </w:rPr>
      </w:pPr>
    </w:p>
    <w:p w14:paraId="212047E7" w14:textId="1284DFEE" w:rsidR="00EF53C8" w:rsidRPr="006F5107" w:rsidRDefault="0045375C" w:rsidP="00EF53C8">
      <w:pPr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>Nous vous remercions d’améliorer les soins ostéoporotiques des patients souffrant de fractures</w:t>
      </w:r>
      <w:r w:rsidR="00EF53C8" w:rsidRPr="006F5107">
        <w:rPr>
          <w:rFonts w:asciiTheme="minorHAnsi" w:hAnsiTheme="minorHAnsi"/>
          <w:sz w:val="24"/>
          <w:szCs w:val="24"/>
          <w:lang w:val="fr-CA"/>
        </w:rPr>
        <w:t>.</w:t>
      </w:r>
    </w:p>
    <w:p w14:paraId="6E7339B0" w14:textId="77777777" w:rsidR="00EF53C8" w:rsidRPr="006F5107" w:rsidRDefault="00EF53C8" w:rsidP="00EF53C8">
      <w:pPr>
        <w:rPr>
          <w:rFonts w:asciiTheme="minorHAnsi" w:hAnsiTheme="minorHAnsi"/>
          <w:sz w:val="24"/>
          <w:szCs w:val="24"/>
          <w:lang w:val="fr-CA"/>
        </w:rPr>
      </w:pPr>
    </w:p>
    <w:p w14:paraId="3D25130D" w14:textId="09DE610F" w:rsidR="0045375C" w:rsidRPr="0045375C" w:rsidRDefault="0045375C" w:rsidP="0045375C">
      <w:pPr>
        <w:rPr>
          <w:rFonts w:asciiTheme="minorHAnsi" w:hAnsiTheme="minorHAnsi"/>
          <w:sz w:val="24"/>
          <w:szCs w:val="24"/>
          <w:lang w:val="fr-CA"/>
        </w:rPr>
      </w:pPr>
      <w:r w:rsidRPr="0045375C">
        <w:rPr>
          <w:rFonts w:asciiTheme="minorHAnsi" w:hAnsiTheme="minorHAnsi"/>
          <w:sz w:val="24"/>
          <w:szCs w:val="24"/>
          <w:lang w:val="fr-CA"/>
        </w:rPr>
        <w:lastRenderedPageBreak/>
        <w:t xml:space="preserve">Veuillez agréer, Docteur (ou Docteure) __________________________, l’expression de nos </w:t>
      </w:r>
      <w:r w:rsidR="00E1429B">
        <w:rPr>
          <w:rFonts w:asciiTheme="minorHAnsi" w:hAnsiTheme="minorHAnsi"/>
          <w:sz w:val="24"/>
          <w:szCs w:val="24"/>
          <w:lang w:val="fr-CA"/>
        </w:rPr>
        <w:t>sentiments</w:t>
      </w:r>
      <w:r w:rsidRPr="0045375C">
        <w:rPr>
          <w:rFonts w:asciiTheme="minorHAnsi" w:hAnsiTheme="minorHAnsi"/>
          <w:sz w:val="24"/>
          <w:szCs w:val="24"/>
          <w:lang w:val="fr-CA"/>
        </w:rPr>
        <w:t xml:space="preserve"> distingués.</w:t>
      </w:r>
    </w:p>
    <w:p w14:paraId="20132480" w14:textId="33467891" w:rsidR="00FF08CF" w:rsidRPr="006F5107" w:rsidRDefault="00D64D16">
      <w:pPr>
        <w:rPr>
          <w:lang w:val="fr-CA"/>
        </w:rPr>
      </w:pPr>
    </w:p>
    <w:p w14:paraId="196C10BA" w14:textId="77777777" w:rsidR="00607049" w:rsidRPr="006F5107" w:rsidRDefault="00607049">
      <w:pPr>
        <w:rPr>
          <w:lang w:val="fr-CA"/>
        </w:rPr>
      </w:pPr>
    </w:p>
    <w:p w14:paraId="2601D9BF" w14:textId="51E11940" w:rsidR="0045375C" w:rsidRPr="006D4670" w:rsidRDefault="00D64D16" w:rsidP="0045375C">
      <w:pPr>
        <w:rPr>
          <w:rFonts w:ascii="Calibri" w:hAnsi="Calibri"/>
          <w:i/>
          <w:sz w:val="24"/>
          <w:szCs w:val="24"/>
          <w:lang w:val="fr-CA"/>
        </w:rPr>
      </w:pPr>
      <w:r>
        <w:rPr>
          <w:rFonts w:ascii="Calibri" w:hAnsi="Calibri"/>
          <w:i/>
          <w:sz w:val="22"/>
          <w:szCs w:val="22"/>
          <w:lang w:val="fr-CA"/>
        </w:rPr>
        <w:t xml:space="preserve">Garde </w:t>
      </w:r>
      <w:bookmarkStart w:id="0" w:name="_GoBack"/>
      <w:bookmarkEnd w:id="0"/>
      <w:r w:rsidR="00A70225">
        <w:rPr>
          <w:rFonts w:ascii="Calibri" w:hAnsi="Calibri"/>
          <w:i/>
          <w:sz w:val="22"/>
          <w:szCs w:val="22"/>
          <w:lang w:val="fr-CA"/>
        </w:rPr>
        <w:t>Dugay</w:t>
      </w:r>
      <w:r w:rsidR="0045375C" w:rsidRPr="006D4670">
        <w:rPr>
          <w:rFonts w:ascii="Calibri" w:hAnsi="Calibri"/>
          <w:i/>
          <w:sz w:val="24"/>
          <w:szCs w:val="24"/>
          <w:lang w:val="fr-CA"/>
        </w:rPr>
        <w:t xml:space="preserve">, </w:t>
      </w:r>
      <w:r w:rsidR="0045375C">
        <w:rPr>
          <w:rFonts w:ascii="Calibri" w:hAnsi="Calibri"/>
          <w:i/>
          <w:sz w:val="24"/>
          <w:szCs w:val="24"/>
          <w:lang w:val="fr-CA"/>
        </w:rPr>
        <w:t>IC ou IP</w:t>
      </w:r>
      <w:r w:rsidR="0045375C">
        <w:rPr>
          <w:rFonts w:ascii="Calibri" w:hAnsi="Calibri"/>
          <w:i/>
          <w:sz w:val="24"/>
          <w:szCs w:val="24"/>
          <w:lang w:val="fr-CA"/>
        </w:rPr>
        <w:tab/>
      </w:r>
      <w:r w:rsidR="0045375C">
        <w:rPr>
          <w:rFonts w:ascii="Calibri" w:hAnsi="Calibri"/>
          <w:i/>
          <w:sz w:val="24"/>
          <w:szCs w:val="24"/>
          <w:lang w:val="fr-CA"/>
        </w:rPr>
        <w:tab/>
      </w:r>
      <w:r w:rsidR="0045375C">
        <w:rPr>
          <w:rFonts w:ascii="Calibri" w:hAnsi="Calibri"/>
          <w:i/>
          <w:sz w:val="24"/>
          <w:szCs w:val="24"/>
          <w:lang w:val="fr-CA"/>
        </w:rPr>
        <w:tab/>
        <w:t>D</w:t>
      </w:r>
      <w:r w:rsidR="0045375C" w:rsidRPr="00642327">
        <w:rPr>
          <w:rFonts w:ascii="Calibri" w:hAnsi="Calibri"/>
          <w:i/>
          <w:sz w:val="24"/>
          <w:szCs w:val="24"/>
          <w:vertAlign w:val="superscript"/>
          <w:lang w:val="fr-CA"/>
        </w:rPr>
        <w:t>r</w:t>
      </w:r>
      <w:r w:rsidR="0045375C">
        <w:rPr>
          <w:rFonts w:ascii="Calibri" w:hAnsi="Calibri"/>
          <w:i/>
          <w:sz w:val="24"/>
          <w:szCs w:val="24"/>
          <w:vertAlign w:val="superscript"/>
          <w:lang w:val="fr-CA"/>
        </w:rPr>
        <w:t xml:space="preserve"> </w:t>
      </w:r>
      <w:r w:rsidR="0045375C" w:rsidRPr="00CA3EFE">
        <w:rPr>
          <w:rFonts w:ascii="Calibri" w:hAnsi="Calibri"/>
          <w:i/>
          <w:sz w:val="24"/>
          <w:szCs w:val="24"/>
          <w:lang w:val="fr-CA"/>
        </w:rPr>
        <w:t>(D</w:t>
      </w:r>
      <w:r w:rsidR="0045375C" w:rsidRPr="00CA3EFE">
        <w:rPr>
          <w:rFonts w:ascii="Calibri" w:hAnsi="Calibri"/>
          <w:i/>
          <w:sz w:val="24"/>
          <w:szCs w:val="24"/>
          <w:vertAlign w:val="superscript"/>
          <w:lang w:val="fr-CA"/>
        </w:rPr>
        <w:t>re</w:t>
      </w:r>
      <w:r w:rsidR="0045375C" w:rsidRPr="00CA3EFE">
        <w:rPr>
          <w:rFonts w:ascii="Calibri" w:hAnsi="Calibri"/>
          <w:i/>
          <w:sz w:val="24"/>
          <w:szCs w:val="24"/>
          <w:lang w:val="fr-CA"/>
        </w:rPr>
        <w:t>)</w:t>
      </w:r>
      <w:r w:rsidR="0045375C" w:rsidRPr="006D4670">
        <w:rPr>
          <w:rFonts w:ascii="Calibri" w:hAnsi="Calibri"/>
          <w:i/>
          <w:sz w:val="24"/>
          <w:szCs w:val="24"/>
          <w:lang w:val="fr-CA"/>
        </w:rPr>
        <w:t xml:space="preserve"> </w:t>
      </w:r>
      <w:r w:rsidR="00A70225">
        <w:rPr>
          <w:rFonts w:ascii="Calibri" w:hAnsi="Calibri"/>
          <w:i/>
          <w:sz w:val="24"/>
          <w:szCs w:val="24"/>
          <w:lang w:val="fr-CA"/>
        </w:rPr>
        <w:t>Guy</w:t>
      </w:r>
      <w:r w:rsidR="0045375C" w:rsidRPr="006D4670">
        <w:rPr>
          <w:rFonts w:ascii="Calibri" w:hAnsi="Calibri"/>
          <w:i/>
          <w:sz w:val="24"/>
          <w:szCs w:val="24"/>
          <w:lang w:val="fr-CA"/>
        </w:rPr>
        <w:t>, MD FRCPC/FRCSC</w:t>
      </w:r>
    </w:p>
    <w:p w14:paraId="300B49F5" w14:textId="43741317" w:rsidR="0045375C" w:rsidRPr="006D4670" w:rsidRDefault="003B1C1C" w:rsidP="003B1C1C">
      <w:pPr>
        <w:ind w:left="3600" w:hanging="3600"/>
        <w:rPr>
          <w:rFonts w:ascii="Calibri" w:hAnsi="Calibri"/>
          <w:sz w:val="22"/>
          <w:szCs w:val="22"/>
          <w:lang w:val="fr-CA"/>
        </w:rPr>
      </w:pPr>
      <w:r>
        <w:rPr>
          <w:rFonts w:ascii="Calibri" w:hAnsi="Calibri"/>
          <w:i/>
          <w:sz w:val="24"/>
          <w:szCs w:val="24"/>
          <w:lang w:val="fr-CA"/>
        </w:rPr>
        <w:t>Coordonn</w:t>
      </w:r>
      <w:r w:rsidR="00CB5E6F">
        <w:rPr>
          <w:rFonts w:ascii="Calibri" w:hAnsi="Calibri"/>
          <w:i/>
          <w:sz w:val="24"/>
          <w:szCs w:val="24"/>
          <w:lang w:val="fr-CA"/>
        </w:rPr>
        <w:t>atrice du</w:t>
      </w:r>
      <w:r w:rsidR="0045375C">
        <w:rPr>
          <w:rFonts w:ascii="Calibri" w:hAnsi="Calibri"/>
          <w:i/>
          <w:sz w:val="24"/>
          <w:szCs w:val="24"/>
          <w:lang w:val="fr-CA"/>
        </w:rPr>
        <w:t xml:space="preserve"> </w:t>
      </w:r>
      <w:r w:rsidR="0045375C" w:rsidRPr="006D4670">
        <w:rPr>
          <w:rFonts w:ascii="Calibri" w:hAnsi="Calibri"/>
          <w:i/>
          <w:sz w:val="24"/>
          <w:szCs w:val="24"/>
          <w:lang w:val="fr-CA"/>
        </w:rPr>
        <w:t>FLS</w:t>
      </w:r>
      <w:r w:rsidR="0045375C" w:rsidRPr="006D4670">
        <w:rPr>
          <w:rFonts w:ascii="Calibri" w:hAnsi="Calibri"/>
          <w:sz w:val="24"/>
          <w:szCs w:val="24"/>
          <w:lang w:val="fr-CA"/>
        </w:rPr>
        <w:tab/>
      </w:r>
      <w:proofErr w:type="gramStart"/>
      <w:r w:rsidR="0045375C">
        <w:rPr>
          <w:rFonts w:ascii="Calibri" w:hAnsi="Calibri"/>
          <w:i/>
          <w:sz w:val="18"/>
          <w:szCs w:val="18"/>
          <w:lang w:val="fr-CA"/>
        </w:rPr>
        <w:t>Directeur(</w:t>
      </w:r>
      <w:proofErr w:type="spellStart"/>
      <w:proofErr w:type="gramEnd"/>
      <w:r w:rsidR="0045375C">
        <w:rPr>
          <w:rFonts w:ascii="Calibri" w:hAnsi="Calibri"/>
          <w:i/>
          <w:sz w:val="18"/>
          <w:szCs w:val="18"/>
          <w:lang w:val="fr-CA"/>
        </w:rPr>
        <w:t>rice</w:t>
      </w:r>
      <w:proofErr w:type="spellEnd"/>
      <w:r w:rsidR="0045375C">
        <w:rPr>
          <w:rFonts w:ascii="Calibri" w:hAnsi="Calibri"/>
          <w:i/>
          <w:sz w:val="18"/>
          <w:szCs w:val="18"/>
          <w:lang w:val="fr-CA"/>
        </w:rPr>
        <w:t>) médical(e) du F</w:t>
      </w:r>
      <w:r w:rsidR="0045375C" w:rsidRPr="006D4670">
        <w:rPr>
          <w:rFonts w:ascii="Calibri" w:hAnsi="Calibri"/>
          <w:i/>
          <w:sz w:val="18"/>
          <w:szCs w:val="18"/>
          <w:lang w:val="fr-CA"/>
        </w:rPr>
        <w:t xml:space="preserve">LS, </w:t>
      </w:r>
      <w:r w:rsidR="0045375C">
        <w:rPr>
          <w:rFonts w:ascii="Calibri" w:hAnsi="Calibri"/>
          <w:i/>
          <w:sz w:val="18"/>
          <w:szCs w:val="18"/>
          <w:lang w:val="fr-CA"/>
        </w:rPr>
        <w:t>chirurgien(ne) o</w:t>
      </w:r>
      <w:r w:rsidR="0045375C" w:rsidRPr="006D4670">
        <w:rPr>
          <w:rFonts w:ascii="Calibri" w:hAnsi="Calibri"/>
          <w:i/>
          <w:sz w:val="18"/>
          <w:szCs w:val="18"/>
          <w:lang w:val="fr-CA"/>
        </w:rPr>
        <w:t>rthop</w:t>
      </w:r>
      <w:r w:rsidR="0045375C">
        <w:rPr>
          <w:rFonts w:ascii="Calibri" w:hAnsi="Calibri"/>
          <w:i/>
          <w:sz w:val="18"/>
          <w:szCs w:val="18"/>
          <w:lang w:val="fr-CA"/>
        </w:rPr>
        <w:t>édique</w:t>
      </w:r>
      <w:r w:rsidR="0045375C" w:rsidRPr="006D4670">
        <w:rPr>
          <w:rFonts w:ascii="Calibri" w:hAnsi="Calibri"/>
          <w:i/>
          <w:sz w:val="18"/>
          <w:szCs w:val="18"/>
          <w:lang w:val="fr-CA"/>
        </w:rPr>
        <w:t xml:space="preserve"> o</w:t>
      </w:r>
      <w:r w:rsidR="0045375C">
        <w:rPr>
          <w:rFonts w:ascii="Calibri" w:hAnsi="Calibri"/>
          <w:i/>
          <w:sz w:val="18"/>
          <w:szCs w:val="18"/>
          <w:lang w:val="fr-CA"/>
        </w:rPr>
        <w:t xml:space="preserve">u </w:t>
      </w:r>
      <w:r w:rsidR="0045375C" w:rsidRPr="006D4670">
        <w:rPr>
          <w:rFonts w:ascii="Calibri" w:hAnsi="Calibri"/>
          <w:i/>
          <w:sz w:val="18"/>
          <w:szCs w:val="18"/>
          <w:lang w:val="fr-CA"/>
        </w:rPr>
        <w:t>leader</w:t>
      </w:r>
      <w:r w:rsidR="0045375C">
        <w:rPr>
          <w:rFonts w:ascii="Calibri" w:hAnsi="Calibri"/>
          <w:i/>
          <w:sz w:val="18"/>
          <w:szCs w:val="18"/>
          <w:lang w:val="fr-CA"/>
        </w:rPr>
        <w:t xml:space="preserve"> d’opinion local</w:t>
      </w:r>
      <w:r>
        <w:rPr>
          <w:rFonts w:ascii="Calibri" w:hAnsi="Calibri"/>
          <w:i/>
          <w:sz w:val="18"/>
          <w:szCs w:val="18"/>
          <w:lang w:val="fr-CA"/>
        </w:rPr>
        <w:t>(e)</w:t>
      </w:r>
    </w:p>
    <w:p w14:paraId="2FE9EB22" w14:textId="44D12193" w:rsidR="00B247F6" w:rsidRPr="006F5107" w:rsidRDefault="00B247F6" w:rsidP="0045375C">
      <w:pPr>
        <w:rPr>
          <w:rFonts w:asciiTheme="minorHAnsi" w:hAnsiTheme="minorHAnsi"/>
          <w:i/>
          <w:lang w:val="fr-CA"/>
        </w:rPr>
      </w:pPr>
    </w:p>
    <w:sectPr w:rsidR="00B247F6" w:rsidRPr="006F5107" w:rsidSect="00607049">
      <w:foot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6DBEF" w14:textId="77777777" w:rsidR="00490FEB" w:rsidRDefault="00490FEB" w:rsidP="00EF53C8">
      <w:r>
        <w:separator/>
      </w:r>
    </w:p>
  </w:endnote>
  <w:endnote w:type="continuationSeparator" w:id="0">
    <w:p w14:paraId="4CFF3A6C" w14:textId="77777777" w:rsidR="00490FEB" w:rsidRDefault="00490FEB" w:rsidP="00EF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6F4C0" w14:textId="77777777" w:rsidR="00EF53C8" w:rsidRDefault="00EF53C8">
    <w:pPr>
      <w:pStyle w:val="Footer"/>
    </w:pPr>
  </w:p>
  <w:p w14:paraId="2FA832E2" w14:textId="77777777" w:rsidR="00607049" w:rsidRDefault="00607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EF903" w14:textId="77777777" w:rsidR="00490FEB" w:rsidRDefault="00490FEB" w:rsidP="00EF53C8">
      <w:r>
        <w:separator/>
      </w:r>
    </w:p>
  </w:footnote>
  <w:footnote w:type="continuationSeparator" w:id="0">
    <w:p w14:paraId="676BC6D7" w14:textId="77777777" w:rsidR="00490FEB" w:rsidRDefault="00490FEB" w:rsidP="00EF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5B8B"/>
    <w:multiLevelType w:val="hybridMultilevel"/>
    <w:tmpl w:val="DA00C896"/>
    <w:lvl w:ilvl="0" w:tplc="FB021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1A11"/>
    <w:multiLevelType w:val="hybridMultilevel"/>
    <w:tmpl w:val="50B008F2"/>
    <w:lvl w:ilvl="0" w:tplc="FB021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34D5E"/>
    <w:multiLevelType w:val="hybridMultilevel"/>
    <w:tmpl w:val="9550AF74"/>
    <w:lvl w:ilvl="0" w:tplc="FB021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C8"/>
    <w:rsid w:val="00001E41"/>
    <w:rsid w:val="00012341"/>
    <w:rsid w:val="00017950"/>
    <w:rsid w:val="00020C0C"/>
    <w:rsid w:val="00040D64"/>
    <w:rsid w:val="00042B25"/>
    <w:rsid w:val="00047820"/>
    <w:rsid w:val="00056EEF"/>
    <w:rsid w:val="000662BD"/>
    <w:rsid w:val="00071078"/>
    <w:rsid w:val="0008355F"/>
    <w:rsid w:val="000927B8"/>
    <w:rsid w:val="000A4BBF"/>
    <w:rsid w:val="000C3AAD"/>
    <w:rsid w:val="000E4D02"/>
    <w:rsid w:val="000F0BD0"/>
    <w:rsid w:val="000F71BC"/>
    <w:rsid w:val="00102B94"/>
    <w:rsid w:val="001044BE"/>
    <w:rsid w:val="00110FB5"/>
    <w:rsid w:val="00115BC3"/>
    <w:rsid w:val="00145425"/>
    <w:rsid w:val="00170362"/>
    <w:rsid w:val="00184A64"/>
    <w:rsid w:val="0018533A"/>
    <w:rsid w:val="001C5EA1"/>
    <w:rsid w:val="001D14BE"/>
    <w:rsid w:val="001D211C"/>
    <w:rsid w:val="001D74CC"/>
    <w:rsid w:val="001E70F5"/>
    <w:rsid w:val="002067B5"/>
    <w:rsid w:val="002151C0"/>
    <w:rsid w:val="00224839"/>
    <w:rsid w:val="00251322"/>
    <w:rsid w:val="002558C1"/>
    <w:rsid w:val="00272927"/>
    <w:rsid w:val="00273751"/>
    <w:rsid w:val="002745A4"/>
    <w:rsid w:val="002902F4"/>
    <w:rsid w:val="00290911"/>
    <w:rsid w:val="00292629"/>
    <w:rsid w:val="0029295D"/>
    <w:rsid w:val="00294417"/>
    <w:rsid w:val="00296747"/>
    <w:rsid w:val="002A371E"/>
    <w:rsid w:val="002C7859"/>
    <w:rsid w:val="002E7C04"/>
    <w:rsid w:val="002F15DD"/>
    <w:rsid w:val="002F286A"/>
    <w:rsid w:val="002F3D4A"/>
    <w:rsid w:val="0031689D"/>
    <w:rsid w:val="00331F32"/>
    <w:rsid w:val="00340C47"/>
    <w:rsid w:val="003563FB"/>
    <w:rsid w:val="00364DED"/>
    <w:rsid w:val="003776AE"/>
    <w:rsid w:val="00395EAB"/>
    <w:rsid w:val="003A07D9"/>
    <w:rsid w:val="003A1315"/>
    <w:rsid w:val="003B04C7"/>
    <w:rsid w:val="003B1C1C"/>
    <w:rsid w:val="003C425B"/>
    <w:rsid w:val="003D33E3"/>
    <w:rsid w:val="003D5D3B"/>
    <w:rsid w:val="003F183E"/>
    <w:rsid w:val="003F4702"/>
    <w:rsid w:val="00401C42"/>
    <w:rsid w:val="00431142"/>
    <w:rsid w:val="004409A4"/>
    <w:rsid w:val="004457DE"/>
    <w:rsid w:val="0045375C"/>
    <w:rsid w:val="004544FC"/>
    <w:rsid w:val="00457076"/>
    <w:rsid w:val="004669A3"/>
    <w:rsid w:val="00471CD0"/>
    <w:rsid w:val="00483191"/>
    <w:rsid w:val="00483946"/>
    <w:rsid w:val="0048518D"/>
    <w:rsid w:val="00490FEB"/>
    <w:rsid w:val="00493B6D"/>
    <w:rsid w:val="004A604D"/>
    <w:rsid w:val="004B5BE0"/>
    <w:rsid w:val="004B602D"/>
    <w:rsid w:val="004B6199"/>
    <w:rsid w:val="004C7C9C"/>
    <w:rsid w:val="004E6847"/>
    <w:rsid w:val="004F3017"/>
    <w:rsid w:val="00517038"/>
    <w:rsid w:val="005309F2"/>
    <w:rsid w:val="00531F62"/>
    <w:rsid w:val="00533F25"/>
    <w:rsid w:val="00534610"/>
    <w:rsid w:val="0055298D"/>
    <w:rsid w:val="005635E1"/>
    <w:rsid w:val="00573C0E"/>
    <w:rsid w:val="00587C50"/>
    <w:rsid w:val="00593AB5"/>
    <w:rsid w:val="00595436"/>
    <w:rsid w:val="005B4BD1"/>
    <w:rsid w:val="00601A99"/>
    <w:rsid w:val="00607049"/>
    <w:rsid w:val="00611FC6"/>
    <w:rsid w:val="00612EF1"/>
    <w:rsid w:val="00620C3C"/>
    <w:rsid w:val="006407B3"/>
    <w:rsid w:val="00641C60"/>
    <w:rsid w:val="006442CF"/>
    <w:rsid w:val="00653146"/>
    <w:rsid w:val="00653EF3"/>
    <w:rsid w:val="006644A9"/>
    <w:rsid w:val="00664532"/>
    <w:rsid w:val="00664AA9"/>
    <w:rsid w:val="00681DFB"/>
    <w:rsid w:val="006A35F6"/>
    <w:rsid w:val="006A368B"/>
    <w:rsid w:val="006B219C"/>
    <w:rsid w:val="006B66B3"/>
    <w:rsid w:val="006B7A53"/>
    <w:rsid w:val="006C51C0"/>
    <w:rsid w:val="006E02FE"/>
    <w:rsid w:val="006E0367"/>
    <w:rsid w:val="006E2F74"/>
    <w:rsid w:val="006F5107"/>
    <w:rsid w:val="00703FF5"/>
    <w:rsid w:val="0070491B"/>
    <w:rsid w:val="007129D3"/>
    <w:rsid w:val="00716F76"/>
    <w:rsid w:val="00720009"/>
    <w:rsid w:val="0072192B"/>
    <w:rsid w:val="00727A4D"/>
    <w:rsid w:val="00735B3B"/>
    <w:rsid w:val="00753C98"/>
    <w:rsid w:val="00757349"/>
    <w:rsid w:val="007609D1"/>
    <w:rsid w:val="007611AF"/>
    <w:rsid w:val="007646EA"/>
    <w:rsid w:val="0077270A"/>
    <w:rsid w:val="00781401"/>
    <w:rsid w:val="007824CD"/>
    <w:rsid w:val="00786156"/>
    <w:rsid w:val="00794E98"/>
    <w:rsid w:val="00797428"/>
    <w:rsid w:val="007A28FA"/>
    <w:rsid w:val="007B1D20"/>
    <w:rsid w:val="007C431D"/>
    <w:rsid w:val="007E7880"/>
    <w:rsid w:val="007F0CB8"/>
    <w:rsid w:val="0081205E"/>
    <w:rsid w:val="008204D7"/>
    <w:rsid w:val="008364DC"/>
    <w:rsid w:val="00841132"/>
    <w:rsid w:val="00852C06"/>
    <w:rsid w:val="00853B8F"/>
    <w:rsid w:val="00860941"/>
    <w:rsid w:val="00874665"/>
    <w:rsid w:val="00874ED2"/>
    <w:rsid w:val="008802DD"/>
    <w:rsid w:val="00882CCA"/>
    <w:rsid w:val="008971DD"/>
    <w:rsid w:val="008D7DF2"/>
    <w:rsid w:val="008E3DE9"/>
    <w:rsid w:val="009037B4"/>
    <w:rsid w:val="009052AC"/>
    <w:rsid w:val="009D6A14"/>
    <w:rsid w:val="009F284C"/>
    <w:rsid w:val="009F3018"/>
    <w:rsid w:val="009F7527"/>
    <w:rsid w:val="00A161E6"/>
    <w:rsid w:val="00A41C0D"/>
    <w:rsid w:val="00A70225"/>
    <w:rsid w:val="00A846CB"/>
    <w:rsid w:val="00A87807"/>
    <w:rsid w:val="00AA1E36"/>
    <w:rsid w:val="00AA3449"/>
    <w:rsid w:val="00AA77ED"/>
    <w:rsid w:val="00AB70B0"/>
    <w:rsid w:val="00AD1F12"/>
    <w:rsid w:val="00AE33D5"/>
    <w:rsid w:val="00B0292D"/>
    <w:rsid w:val="00B065C7"/>
    <w:rsid w:val="00B21A92"/>
    <w:rsid w:val="00B247F6"/>
    <w:rsid w:val="00B259B1"/>
    <w:rsid w:val="00B36E66"/>
    <w:rsid w:val="00B42C9D"/>
    <w:rsid w:val="00B477A3"/>
    <w:rsid w:val="00B616C3"/>
    <w:rsid w:val="00B65ACD"/>
    <w:rsid w:val="00B671FB"/>
    <w:rsid w:val="00B8370D"/>
    <w:rsid w:val="00B838E7"/>
    <w:rsid w:val="00B8400E"/>
    <w:rsid w:val="00B94764"/>
    <w:rsid w:val="00BA6BB6"/>
    <w:rsid w:val="00BB0368"/>
    <w:rsid w:val="00BB7F8B"/>
    <w:rsid w:val="00BE2BA5"/>
    <w:rsid w:val="00C21134"/>
    <w:rsid w:val="00C3525D"/>
    <w:rsid w:val="00C36ED0"/>
    <w:rsid w:val="00C4172A"/>
    <w:rsid w:val="00C43C31"/>
    <w:rsid w:val="00C50947"/>
    <w:rsid w:val="00C515ED"/>
    <w:rsid w:val="00C54EF6"/>
    <w:rsid w:val="00C70D07"/>
    <w:rsid w:val="00C7503F"/>
    <w:rsid w:val="00C9124C"/>
    <w:rsid w:val="00C9235F"/>
    <w:rsid w:val="00C94130"/>
    <w:rsid w:val="00CB5E6F"/>
    <w:rsid w:val="00CB5F2A"/>
    <w:rsid w:val="00D06950"/>
    <w:rsid w:val="00D13D52"/>
    <w:rsid w:val="00D15118"/>
    <w:rsid w:val="00D23FFD"/>
    <w:rsid w:val="00D2796F"/>
    <w:rsid w:val="00D35641"/>
    <w:rsid w:val="00D37D1C"/>
    <w:rsid w:val="00D40108"/>
    <w:rsid w:val="00D41230"/>
    <w:rsid w:val="00D4391F"/>
    <w:rsid w:val="00D45AED"/>
    <w:rsid w:val="00D64D16"/>
    <w:rsid w:val="00D727AC"/>
    <w:rsid w:val="00D83612"/>
    <w:rsid w:val="00DA17F4"/>
    <w:rsid w:val="00DB7963"/>
    <w:rsid w:val="00DC767A"/>
    <w:rsid w:val="00DE4C3F"/>
    <w:rsid w:val="00E12ADD"/>
    <w:rsid w:val="00E1429B"/>
    <w:rsid w:val="00E212CC"/>
    <w:rsid w:val="00E30B5F"/>
    <w:rsid w:val="00E57F06"/>
    <w:rsid w:val="00E6337B"/>
    <w:rsid w:val="00E6682A"/>
    <w:rsid w:val="00E672E7"/>
    <w:rsid w:val="00E712C6"/>
    <w:rsid w:val="00E7146D"/>
    <w:rsid w:val="00E83862"/>
    <w:rsid w:val="00E86851"/>
    <w:rsid w:val="00EC1831"/>
    <w:rsid w:val="00ED54E3"/>
    <w:rsid w:val="00ED7DA3"/>
    <w:rsid w:val="00EF2087"/>
    <w:rsid w:val="00EF2A26"/>
    <w:rsid w:val="00EF4047"/>
    <w:rsid w:val="00EF41BB"/>
    <w:rsid w:val="00EF53C8"/>
    <w:rsid w:val="00EF77EC"/>
    <w:rsid w:val="00F27B04"/>
    <w:rsid w:val="00F30FD0"/>
    <w:rsid w:val="00F600BF"/>
    <w:rsid w:val="00F711D4"/>
    <w:rsid w:val="00F8139B"/>
    <w:rsid w:val="00FA01F1"/>
    <w:rsid w:val="00FA2329"/>
    <w:rsid w:val="00FA3ED4"/>
    <w:rsid w:val="00FC4BC2"/>
    <w:rsid w:val="00FC51E2"/>
    <w:rsid w:val="00FE4125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9A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EF5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3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F5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3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EF5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3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F5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3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</dc:creator>
  <cp:lastModifiedBy>La-Toya Williamson</cp:lastModifiedBy>
  <cp:revision>5</cp:revision>
  <cp:lastPrinted>2013-02-25T15:06:00Z</cp:lastPrinted>
  <dcterms:created xsi:type="dcterms:W3CDTF">2015-03-30T20:39:00Z</dcterms:created>
  <dcterms:modified xsi:type="dcterms:W3CDTF">2015-04-27T20:43:00Z</dcterms:modified>
</cp:coreProperties>
</file>