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3EB01" w14:textId="77777777" w:rsidR="004A2720" w:rsidRDefault="00F951AC" w:rsidP="004A2720">
      <w:pPr>
        <w:spacing w:after="0"/>
        <w:rPr>
          <w:b/>
        </w:rPr>
      </w:pPr>
      <w:r w:rsidRPr="00150F59">
        <w:rPr>
          <w:b/>
          <w:sz w:val="28"/>
          <w:szCs w:val="28"/>
        </w:rPr>
        <w:t>Osteoporosis Canada</w:t>
      </w:r>
      <w:r w:rsidR="001D3654" w:rsidRPr="00150F59">
        <w:rPr>
          <w:b/>
          <w:sz w:val="28"/>
          <w:szCs w:val="28"/>
        </w:rPr>
        <w:t xml:space="preserve">’s role in supporting the </w:t>
      </w:r>
      <w:r w:rsidRPr="00150F59">
        <w:rPr>
          <w:b/>
          <w:sz w:val="28"/>
          <w:szCs w:val="28"/>
        </w:rPr>
        <w:t>implement</w:t>
      </w:r>
      <w:r w:rsidR="001D3654" w:rsidRPr="00150F59">
        <w:rPr>
          <w:b/>
          <w:sz w:val="28"/>
          <w:szCs w:val="28"/>
        </w:rPr>
        <w:t>ation of</w:t>
      </w:r>
      <w:r w:rsidRPr="00150F59">
        <w:rPr>
          <w:b/>
          <w:sz w:val="28"/>
          <w:szCs w:val="28"/>
        </w:rPr>
        <w:t xml:space="preserve"> quality FLSs</w:t>
      </w:r>
      <w:r w:rsidR="004A2720">
        <w:rPr>
          <w:b/>
        </w:rPr>
        <w:t xml:space="preserve"> </w:t>
      </w:r>
    </w:p>
    <w:p w14:paraId="072E6A1D" w14:textId="4D4DB51C" w:rsidR="00F951AC" w:rsidRDefault="00F951AC">
      <w:pPr>
        <w:rPr>
          <w:lang w:val="en-US"/>
        </w:rPr>
      </w:pPr>
      <w:r>
        <w:rPr>
          <w:lang w:val="en-US"/>
        </w:rPr>
        <w:t>O</w:t>
      </w:r>
      <w:r w:rsidR="0097633D">
        <w:rPr>
          <w:lang w:val="en-US"/>
        </w:rPr>
        <w:t xml:space="preserve">steoporosis </w:t>
      </w:r>
      <w:r>
        <w:rPr>
          <w:lang w:val="en-US"/>
        </w:rPr>
        <w:t>C</w:t>
      </w:r>
      <w:r w:rsidR="0097633D">
        <w:rPr>
          <w:lang w:val="en-US"/>
        </w:rPr>
        <w:t>anada (OC)</w:t>
      </w:r>
      <w:r w:rsidRPr="00F951AC">
        <w:rPr>
          <w:lang w:val="en-US"/>
        </w:rPr>
        <w:t xml:space="preserve"> is the only national organ</w:t>
      </w:r>
      <w:bookmarkStart w:id="0" w:name="_GoBack"/>
      <w:bookmarkEnd w:id="0"/>
      <w:r w:rsidRPr="00F951AC">
        <w:rPr>
          <w:lang w:val="en-US"/>
        </w:rPr>
        <w:t xml:space="preserve">ization </w:t>
      </w:r>
      <w:r>
        <w:rPr>
          <w:lang w:val="en-US"/>
        </w:rPr>
        <w:t xml:space="preserve">in the country </w:t>
      </w:r>
      <w:r w:rsidRPr="00F951AC">
        <w:rPr>
          <w:lang w:val="en-US"/>
        </w:rPr>
        <w:t>serving people who have, or are at risk for, osteoporosis.</w:t>
      </w:r>
      <w:r>
        <w:rPr>
          <w:lang w:val="en-US"/>
        </w:rPr>
        <w:t xml:space="preserve">  </w:t>
      </w:r>
      <w:r w:rsidR="00DF59E2">
        <w:rPr>
          <w:lang w:val="en-US"/>
        </w:rPr>
        <w:t>Since February 2010, OC</w:t>
      </w:r>
      <w:r w:rsidR="00634F78">
        <w:rPr>
          <w:lang w:val="en-US"/>
        </w:rPr>
        <w:t xml:space="preserve"> has been focused on “highest risk” patients, defined as those who have already fractured.</w:t>
      </w:r>
      <w:r>
        <w:rPr>
          <w:lang w:val="en-US"/>
        </w:rPr>
        <w:t xml:space="preserve">  </w:t>
      </w:r>
      <w:r w:rsidR="0056330E">
        <w:rPr>
          <w:lang w:val="en-US"/>
        </w:rPr>
        <w:t xml:space="preserve">  </w:t>
      </w:r>
    </w:p>
    <w:p w14:paraId="1AA99AAD" w14:textId="589E334A" w:rsidR="00F951AC" w:rsidRDefault="001636BD">
      <w:pPr>
        <w:rPr>
          <w:lang w:val="en-US"/>
        </w:rPr>
      </w:pPr>
      <w:r>
        <w:rPr>
          <w:lang w:val="en-US"/>
        </w:rPr>
        <w:t>Released in March 2011, OC’s</w:t>
      </w:r>
      <w:r w:rsidR="00634F78">
        <w:rPr>
          <w:lang w:val="en-US"/>
        </w:rPr>
        <w:t xml:space="preserve"> White paper, </w:t>
      </w:r>
      <w:hyperlink r:id="rId7" w:history="1">
        <w:proofErr w:type="gramStart"/>
        <w:r w:rsidR="00927220" w:rsidRPr="003C42D4">
          <w:rPr>
            <w:rStyle w:val="Hyperlink"/>
            <w:i/>
            <w:lang w:val="en-US"/>
          </w:rPr>
          <w:t>Towards</w:t>
        </w:r>
        <w:proofErr w:type="gramEnd"/>
        <w:r w:rsidR="00927220" w:rsidRPr="003C42D4">
          <w:rPr>
            <w:rStyle w:val="Hyperlink"/>
            <w:i/>
            <w:lang w:val="en-US"/>
          </w:rPr>
          <w:t xml:space="preserve"> a fracture-free future</w:t>
        </w:r>
      </w:hyperlink>
      <w:r w:rsidR="00927220">
        <w:rPr>
          <w:lang w:val="en-US"/>
        </w:rPr>
        <w:t>,</w:t>
      </w:r>
      <w:r w:rsidR="00634F78">
        <w:rPr>
          <w:lang w:val="en-US"/>
        </w:rPr>
        <w:t xml:space="preserve"> was a call to action for governments to implement </w:t>
      </w:r>
      <w:r w:rsidR="00927220" w:rsidRPr="00B532EE">
        <w:rPr>
          <w:lang w:val="en-US"/>
        </w:rPr>
        <w:t>coordinated post</w:t>
      </w:r>
      <w:r w:rsidR="0097633D">
        <w:rPr>
          <w:lang w:val="en-US"/>
        </w:rPr>
        <w:t>-</w:t>
      </w:r>
      <w:r w:rsidR="00927220" w:rsidRPr="00B532EE">
        <w:rPr>
          <w:lang w:val="en-US"/>
        </w:rPr>
        <w:t xml:space="preserve">fracture care programs with case managers to effectively identify and manage </w:t>
      </w:r>
      <w:r w:rsidR="00F22935" w:rsidRPr="00B532EE">
        <w:rPr>
          <w:lang w:val="en-US"/>
        </w:rPr>
        <w:t>Canadians</w:t>
      </w:r>
      <w:r w:rsidR="00F22935">
        <w:rPr>
          <w:lang w:val="en-US"/>
        </w:rPr>
        <w:t xml:space="preserve"> who present with fragility fractures</w:t>
      </w:r>
      <w:r w:rsidR="00927220">
        <w:rPr>
          <w:lang w:val="en-US"/>
        </w:rPr>
        <w:t>.</w:t>
      </w:r>
    </w:p>
    <w:p w14:paraId="779FA4E7" w14:textId="1B9C3314" w:rsidR="00B01D23" w:rsidRDefault="00DF59E2" w:rsidP="00CD64CB">
      <w:pPr>
        <w:spacing w:after="0"/>
        <w:rPr>
          <w:lang w:val="en-US"/>
        </w:rPr>
      </w:pPr>
      <w:r>
        <w:rPr>
          <w:lang w:val="en-US"/>
        </w:rPr>
        <w:t xml:space="preserve">The </w:t>
      </w:r>
      <w:r w:rsidR="00634F78">
        <w:rPr>
          <w:lang w:val="en-US"/>
        </w:rPr>
        <w:t>Sale system</w:t>
      </w:r>
      <w:r w:rsidR="00B532EE">
        <w:rPr>
          <w:lang w:val="en-US"/>
        </w:rPr>
        <w:t>atic review</w:t>
      </w:r>
      <w:r w:rsidR="00CD64CB">
        <w:rPr>
          <w:lang w:val="en-US"/>
        </w:rPr>
        <w:t xml:space="preserve"> in 2011</w:t>
      </w:r>
      <w:r w:rsidR="00F04B45" w:rsidRPr="00F04B45">
        <w:rPr>
          <w:vertAlign w:val="superscript"/>
          <w:lang w:val="en-US"/>
        </w:rPr>
        <w:t>1</w:t>
      </w:r>
      <w:r w:rsidR="001D3654">
        <w:rPr>
          <w:lang w:val="en-US"/>
        </w:rPr>
        <w:t xml:space="preserve"> and </w:t>
      </w:r>
      <w:r w:rsidR="009B5BF7">
        <w:rPr>
          <w:lang w:val="en-US"/>
        </w:rPr>
        <w:t>the Ganda</w:t>
      </w:r>
      <w:r w:rsidR="001D3654">
        <w:rPr>
          <w:lang w:val="en-US"/>
        </w:rPr>
        <w:t xml:space="preserve"> systematic review and meta-analysis</w:t>
      </w:r>
      <w:r w:rsidR="00CD64CB">
        <w:rPr>
          <w:lang w:val="en-US"/>
        </w:rPr>
        <w:t xml:space="preserve"> in 2013</w:t>
      </w:r>
      <w:r w:rsidR="00F04B45" w:rsidRPr="00F04B45">
        <w:rPr>
          <w:vertAlign w:val="superscript"/>
          <w:lang w:val="en-US"/>
        </w:rPr>
        <w:t>2</w:t>
      </w:r>
      <w:r w:rsidR="00CD64CB">
        <w:rPr>
          <w:lang w:val="en-US"/>
        </w:rPr>
        <w:t xml:space="preserve">, </w:t>
      </w:r>
      <w:r w:rsidR="00C5607B">
        <w:rPr>
          <w:lang w:val="en-US"/>
        </w:rPr>
        <w:t xml:space="preserve">further </w:t>
      </w:r>
      <w:r>
        <w:rPr>
          <w:lang w:val="en-US"/>
        </w:rPr>
        <w:t xml:space="preserve">shaped </w:t>
      </w:r>
      <w:r w:rsidR="001636BD">
        <w:rPr>
          <w:lang w:val="en-US"/>
        </w:rPr>
        <w:t xml:space="preserve">OC’s </w:t>
      </w:r>
      <w:r>
        <w:rPr>
          <w:lang w:val="en-US"/>
        </w:rPr>
        <w:t>definition</w:t>
      </w:r>
      <w:r w:rsidR="001636BD">
        <w:rPr>
          <w:lang w:val="en-US"/>
        </w:rPr>
        <w:t xml:space="preserve"> of an effective post-fracture care program.  </w:t>
      </w:r>
      <w:r w:rsidR="00C5607B">
        <w:rPr>
          <w:lang w:val="en-US"/>
        </w:rPr>
        <w:t xml:space="preserve">These two </w:t>
      </w:r>
      <w:r w:rsidR="001636BD">
        <w:rPr>
          <w:lang w:val="en-US"/>
        </w:rPr>
        <w:t xml:space="preserve">landmark </w:t>
      </w:r>
      <w:r w:rsidR="00C5607B">
        <w:rPr>
          <w:lang w:val="en-US"/>
        </w:rPr>
        <w:t>studies</w:t>
      </w:r>
      <w:r w:rsidR="001636BD">
        <w:rPr>
          <w:lang w:val="en-US"/>
        </w:rPr>
        <w:t xml:space="preserve"> had come to </w:t>
      </w:r>
      <w:r w:rsidR="00CD64CB">
        <w:rPr>
          <w:lang w:val="en-US"/>
        </w:rPr>
        <w:t xml:space="preserve">the same salient conclusions:  successful post-fracture care models require dedicated </w:t>
      </w:r>
      <w:r w:rsidR="00B01D23">
        <w:rPr>
          <w:lang w:val="en-US"/>
        </w:rPr>
        <w:t xml:space="preserve">personnel </w:t>
      </w:r>
      <w:r w:rsidR="00B01D23" w:rsidRPr="00B01D23">
        <w:rPr>
          <w:u w:val="single"/>
          <w:lang w:val="en-US"/>
        </w:rPr>
        <w:t>A</w:t>
      </w:r>
      <w:r w:rsidR="00CD64CB" w:rsidRPr="00B01D23">
        <w:rPr>
          <w:u w:val="single"/>
          <w:lang w:val="en-US"/>
        </w:rPr>
        <w:t>ND</w:t>
      </w:r>
      <w:r w:rsidR="00CD64CB">
        <w:rPr>
          <w:lang w:val="en-US"/>
        </w:rPr>
        <w:t xml:space="preserve"> a critical intensity</w:t>
      </w:r>
      <w:r w:rsidR="00B01D23">
        <w:rPr>
          <w:lang w:val="en-US"/>
        </w:rPr>
        <w:t>.  Effective models are those interventions within which investigati</w:t>
      </w:r>
      <w:r w:rsidR="006D582B">
        <w:rPr>
          <w:lang w:val="en-US"/>
        </w:rPr>
        <w:t xml:space="preserve">ons </w:t>
      </w:r>
      <w:r w:rsidR="00B01D23">
        <w:rPr>
          <w:lang w:val="en-US"/>
        </w:rPr>
        <w:t xml:space="preserve">and/or </w:t>
      </w:r>
      <w:r w:rsidR="00D85426">
        <w:rPr>
          <w:lang w:val="en-US"/>
        </w:rPr>
        <w:t xml:space="preserve">initiation of </w:t>
      </w:r>
      <w:r w:rsidR="00E11653">
        <w:rPr>
          <w:lang w:val="en-US"/>
        </w:rPr>
        <w:t xml:space="preserve">osteoporosis </w:t>
      </w:r>
      <w:r w:rsidR="00B01D23">
        <w:rPr>
          <w:lang w:val="en-US"/>
        </w:rPr>
        <w:t>treatment are conducted.</w:t>
      </w:r>
    </w:p>
    <w:p w14:paraId="42862BC0" w14:textId="77777777" w:rsidR="00B01D23" w:rsidRDefault="00B01D23" w:rsidP="00CD64CB">
      <w:pPr>
        <w:spacing w:after="0"/>
        <w:rPr>
          <w:lang w:val="en-US"/>
        </w:rPr>
      </w:pPr>
    </w:p>
    <w:p w14:paraId="30494C14" w14:textId="2C8E5A2A" w:rsidR="007C1CC4" w:rsidRDefault="00A15831" w:rsidP="007C1CC4">
      <w:pPr>
        <w:spacing w:after="0"/>
        <w:rPr>
          <w:lang w:val="en-US"/>
        </w:rPr>
      </w:pPr>
      <w:r>
        <w:rPr>
          <w:lang w:val="en-US"/>
        </w:rPr>
        <w:t>In</w:t>
      </w:r>
      <w:r w:rsidR="007C1CC4">
        <w:rPr>
          <w:lang w:val="en-US"/>
        </w:rPr>
        <w:t xml:space="preserve"> March 2013, the national Board of Directors</w:t>
      </w:r>
      <w:r w:rsidR="00E11653">
        <w:rPr>
          <w:lang w:val="en-US"/>
        </w:rPr>
        <w:t xml:space="preserve"> </w:t>
      </w:r>
      <w:r w:rsidR="007C1CC4">
        <w:rPr>
          <w:lang w:val="en-US"/>
        </w:rPr>
        <w:t>directed the</w:t>
      </w:r>
      <w:r w:rsidR="001D3654">
        <w:rPr>
          <w:lang w:val="en-US"/>
        </w:rPr>
        <w:t xml:space="preserve"> </w:t>
      </w:r>
      <w:r w:rsidR="00A92123">
        <w:rPr>
          <w:lang w:val="en-US"/>
        </w:rPr>
        <w:t xml:space="preserve">organization </w:t>
      </w:r>
      <w:r w:rsidR="007C1CC4">
        <w:rPr>
          <w:lang w:val="en-US"/>
        </w:rPr>
        <w:t>to focus</w:t>
      </w:r>
      <w:r w:rsidR="00A92123">
        <w:rPr>
          <w:lang w:val="en-US"/>
        </w:rPr>
        <w:t xml:space="preserve"> its advocacy</w:t>
      </w:r>
      <w:r w:rsidR="001D3654">
        <w:rPr>
          <w:lang w:val="en-US"/>
        </w:rPr>
        <w:t xml:space="preserve"> efforts</w:t>
      </w:r>
      <w:r w:rsidR="00145D61">
        <w:rPr>
          <w:lang w:val="en-US"/>
        </w:rPr>
        <w:t xml:space="preserve"> </w:t>
      </w:r>
      <w:r w:rsidR="00AA6446">
        <w:rPr>
          <w:lang w:val="en-US"/>
        </w:rPr>
        <w:t>o</w:t>
      </w:r>
      <w:r w:rsidR="001D3654">
        <w:rPr>
          <w:lang w:val="en-US"/>
        </w:rPr>
        <w:t>n Fracture Liaison Services</w:t>
      </w:r>
      <w:r w:rsidR="00A92123">
        <w:rPr>
          <w:lang w:val="en-US"/>
        </w:rPr>
        <w:t xml:space="preserve"> (FLS) meeting </w:t>
      </w:r>
      <w:r w:rsidR="007C1CC4">
        <w:rPr>
          <w:lang w:val="en-US"/>
        </w:rPr>
        <w:t xml:space="preserve">the criteria </w:t>
      </w:r>
      <w:r w:rsidR="0097139A">
        <w:rPr>
          <w:lang w:val="en-US"/>
        </w:rPr>
        <w:t xml:space="preserve">for </w:t>
      </w:r>
      <w:r w:rsidR="00C16791">
        <w:rPr>
          <w:lang w:val="en-US"/>
        </w:rPr>
        <w:t xml:space="preserve">the </w:t>
      </w:r>
      <w:r w:rsidR="0097139A">
        <w:rPr>
          <w:lang w:val="en-US"/>
        </w:rPr>
        <w:t xml:space="preserve">most effective </w:t>
      </w:r>
      <w:r w:rsidR="00C16791">
        <w:rPr>
          <w:lang w:val="en-US"/>
        </w:rPr>
        <w:t>interventions</w:t>
      </w:r>
      <w:r w:rsidR="0097139A">
        <w:rPr>
          <w:lang w:val="en-US"/>
        </w:rPr>
        <w:t xml:space="preserve"> as </w:t>
      </w:r>
      <w:r w:rsidR="007C1CC4">
        <w:rPr>
          <w:lang w:val="en-US"/>
        </w:rPr>
        <w:t xml:space="preserve">identified in the Sale </w:t>
      </w:r>
      <w:r w:rsidR="009B5BF7">
        <w:rPr>
          <w:lang w:val="en-US"/>
        </w:rPr>
        <w:t>and Ganda articles</w:t>
      </w:r>
      <w:r w:rsidR="001D3654">
        <w:rPr>
          <w:lang w:val="en-US"/>
        </w:rPr>
        <w:t>.</w:t>
      </w:r>
      <w:r w:rsidR="007C1CC4">
        <w:rPr>
          <w:lang w:val="en-US"/>
        </w:rPr>
        <w:t xml:space="preserve">  </w:t>
      </w:r>
    </w:p>
    <w:p w14:paraId="06F86141" w14:textId="77777777" w:rsidR="007C1CC4" w:rsidRDefault="007C1CC4" w:rsidP="007C1CC4">
      <w:pPr>
        <w:spacing w:after="0"/>
        <w:rPr>
          <w:lang w:val="en-US"/>
        </w:rPr>
      </w:pPr>
    </w:p>
    <w:p w14:paraId="01B7A0C2" w14:textId="3E61E357" w:rsidR="007C1CC4" w:rsidRDefault="007C1CC4" w:rsidP="007C1CC4">
      <w:pPr>
        <w:spacing w:after="0"/>
        <w:rPr>
          <w:lang w:val="en-US"/>
        </w:rPr>
      </w:pPr>
      <w:r>
        <w:rPr>
          <w:lang w:val="en-US"/>
        </w:rPr>
        <w:t xml:space="preserve">Since then, OC has developed many tools and resources to support the implementation of effective FLSs in Canada.  These tools and resources are found on OC’s </w:t>
      </w:r>
      <w:hyperlink r:id="rId8" w:history="1">
        <w:r w:rsidRPr="00477705">
          <w:rPr>
            <w:rStyle w:val="Hyperlink"/>
            <w:i/>
            <w:lang w:val="en-US"/>
          </w:rPr>
          <w:t>FLS Hub</w:t>
        </w:r>
      </w:hyperlink>
      <w:r>
        <w:rPr>
          <w:lang w:val="en-US"/>
        </w:rPr>
        <w:t xml:space="preserve"> and include:</w:t>
      </w:r>
    </w:p>
    <w:p w14:paraId="7C9ED10B" w14:textId="3D7B0313" w:rsidR="007C1CC4" w:rsidRDefault="007C1CC4" w:rsidP="00C35E78">
      <w:pPr>
        <w:pStyle w:val="ListParagraph"/>
        <w:numPr>
          <w:ilvl w:val="0"/>
          <w:numId w:val="6"/>
        </w:numPr>
        <w:spacing w:after="0"/>
        <w:rPr>
          <w:lang w:val="en-US"/>
        </w:rPr>
      </w:pPr>
      <w:r>
        <w:rPr>
          <w:lang w:val="en-US"/>
        </w:rPr>
        <w:t xml:space="preserve">OC’s </w:t>
      </w:r>
      <w:hyperlink w:anchor="box" w:history="1">
        <w:r w:rsidRPr="00477705">
          <w:rPr>
            <w:rStyle w:val="Hyperlink"/>
            <w:lang w:val="en-US"/>
          </w:rPr>
          <w:t>official definition of FLS</w:t>
        </w:r>
      </w:hyperlink>
    </w:p>
    <w:p w14:paraId="73C69765" w14:textId="5147A7B0" w:rsidR="007C1CC4" w:rsidRDefault="007C1CC4" w:rsidP="00C35E78">
      <w:pPr>
        <w:pStyle w:val="ListParagraph"/>
        <w:numPr>
          <w:ilvl w:val="0"/>
          <w:numId w:val="6"/>
        </w:numPr>
        <w:spacing w:after="0"/>
        <w:rPr>
          <w:lang w:val="en-US"/>
        </w:rPr>
      </w:pPr>
      <w:r>
        <w:rPr>
          <w:lang w:val="en-US"/>
        </w:rPr>
        <w:t xml:space="preserve">An </w:t>
      </w:r>
      <w:hyperlink r:id="rId9" w:history="1">
        <w:r w:rsidRPr="00477705">
          <w:rPr>
            <w:rStyle w:val="Hyperlink"/>
            <w:i/>
            <w:lang w:val="en-US"/>
          </w:rPr>
          <w:t>FLS Toolkit</w:t>
        </w:r>
      </w:hyperlink>
      <w:r>
        <w:rPr>
          <w:lang w:val="en-US"/>
        </w:rPr>
        <w:t xml:space="preserve">, with useful tools and templates to assist </w:t>
      </w:r>
      <w:r w:rsidR="00C35E78">
        <w:rPr>
          <w:lang w:val="en-US"/>
        </w:rPr>
        <w:t>any new or aspiring FLS team in the design and implementation of their FLS model</w:t>
      </w:r>
    </w:p>
    <w:p w14:paraId="24AAECF6" w14:textId="6F2E58CA" w:rsidR="007C1CC4" w:rsidRDefault="00477705" w:rsidP="00C35E78">
      <w:pPr>
        <w:pStyle w:val="ListParagraph"/>
        <w:numPr>
          <w:ilvl w:val="0"/>
          <w:numId w:val="6"/>
        </w:numPr>
        <w:spacing w:after="0"/>
        <w:rPr>
          <w:lang w:val="en-US"/>
        </w:rPr>
      </w:pPr>
      <w:hyperlink r:id="rId10" w:history="1">
        <w:r w:rsidR="007C1CC4" w:rsidRPr="00477705">
          <w:rPr>
            <w:rStyle w:val="Hyperlink"/>
            <w:i/>
            <w:lang w:val="en-US"/>
          </w:rPr>
          <w:t>Essential Elements of FLS</w:t>
        </w:r>
      </w:hyperlink>
      <w:r w:rsidR="007C1CC4">
        <w:rPr>
          <w:lang w:val="en-US"/>
        </w:rPr>
        <w:t xml:space="preserve">, a document outlining the </w:t>
      </w:r>
      <w:r w:rsidR="00C35E78">
        <w:rPr>
          <w:lang w:val="en-US"/>
        </w:rPr>
        <w:t>minimal</w:t>
      </w:r>
      <w:r w:rsidR="007C1CC4">
        <w:rPr>
          <w:lang w:val="en-US"/>
        </w:rPr>
        <w:t xml:space="preserve"> essential components </w:t>
      </w:r>
      <w:r w:rsidR="009B5BF7">
        <w:rPr>
          <w:lang w:val="en-US"/>
        </w:rPr>
        <w:t>for</w:t>
      </w:r>
      <w:r w:rsidR="007C1CC4">
        <w:rPr>
          <w:lang w:val="en-US"/>
        </w:rPr>
        <w:t xml:space="preserve"> a successful FLS</w:t>
      </w:r>
    </w:p>
    <w:p w14:paraId="4C51692A" w14:textId="3E8B1AE7" w:rsidR="007C1CC4" w:rsidRDefault="007C1CC4" w:rsidP="00C35E78">
      <w:pPr>
        <w:pStyle w:val="ListParagraph"/>
        <w:numPr>
          <w:ilvl w:val="0"/>
          <w:numId w:val="6"/>
        </w:numPr>
        <w:spacing w:after="0"/>
        <w:rPr>
          <w:lang w:val="en-US"/>
        </w:rPr>
      </w:pPr>
      <w:r>
        <w:rPr>
          <w:lang w:val="en-US"/>
        </w:rPr>
        <w:t xml:space="preserve">OC’s </w:t>
      </w:r>
      <w:hyperlink r:id="rId11" w:history="1">
        <w:r w:rsidRPr="00477705">
          <w:rPr>
            <w:rStyle w:val="Hyperlink"/>
            <w:i/>
            <w:lang w:val="en-US"/>
          </w:rPr>
          <w:t>FLS Registry</w:t>
        </w:r>
      </w:hyperlink>
      <w:r w:rsidR="00C35E78">
        <w:rPr>
          <w:lang w:val="en-US"/>
        </w:rPr>
        <w:t xml:space="preserve"> showcasing Canadian FLSs meeting </w:t>
      </w:r>
      <w:r w:rsidR="009B5BF7">
        <w:rPr>
          <w:lang w:val="en-US"/>
        </w:rPr>
        <w:t xml:space="preserve">all </w:t>
      </w:r>
      <w:r w:rsidR="00C35E78">
        <w:rPr>
          <w:lang w:val="en-US"/>
        </w:rPr>
        <w:t xml:space="preserve">8 </w:t>
      </w:r>
      <w:r w:rsidR="009B5BF7">
        <w:rPr>
          <w:lang w:val="en-US"/>
        </w:rPr>
        <w:t xml:space="preserve">of the </w:t>
      </w:r>
      <w:r w:rsidR="00C35E78">
        <w:rPr>
          <w:lang w:val="en-US"/>
        </w:rPr>
        <w:t>Essential Elements</w:t>
      </w:r>
      <w:r w:rsidR="00A63B82">
        <w:rPr>
          <w:lang w:val="en-US"/>
        </w:rPr>
        <w:t xml:space="preserve">. As of December 18, 2017, only 45 FLSs are listed on the </w:t>
      </w:r>
      <w:r w:rsidR="00A63B82" w:rsidRPr="00A63B82">
        <w:rPr>
          <w:i/>
          <w:lang w:val="en-US"/>
        </w:rPr>
        <w:t>FLS Registry</w:t>
      </w:r>
      <w:r w:rsidR="00A63B82">
        <w:rPr>
          <w:lang w:val="en-US"/>
        </w:rPr>
        <w:t>, a far cry from what is needed in Canada.</w:t>
      </w:r>
    </w:p>
    <w:p w14:paraId="6A3C5B41" w14:textId="0079ADFA" w:rsidR="007C1CC4" w:rsidRDefault="00477705" w:rsidP="00C35E78">
      <w:pPr>
        <w:pStyle w:val="ListParagraph"/>
        <w:numPr>
          <w:ilvl w:val="0"/>
          <w:numId w:val="6"/>
        </w:numPr>
        <w:spacing w:after="0"/>
        <w:rPr>
          <w:lang w:val="en-US"/>
        </w:rPr>
      </w:pPr>
      <w:hyperlink r:id="rId12" w:history="1">
        <w:r w:rsidR="00C35E78" w:rsidRPr="00477705">
          <w:rPr>
            <w:rStyle w:val="Hyperlink"/>
            <w:i/>
            <w:lang w:val="en-US"/>
          </w:rPr>
          <w:t>Key indicators for Canadian FLSs</w:t>
        </w:r>
      </w:hyperlink>
      <w:r w:rsidR="009B5BF7">
        <w:rPr>
          <w:lang w:val="en-US"/>
        </w:rPr>
        <w:t xml:space="preserve"> to support them in their continuous quality improvement</w:t>
      </w:r>
    </w:p>
    <w:p w14:paraId="2885B524" w14:textId="4457854E" w:rsidR="007C1CC4" w:rsidRDefault="00477705" w:rsidP="00C35E78">
      <w:pPr>
        <w:pStyle w:val="ListParagraph"/>
        <w:numPr>
          <w:ilvl w:val="0"/>
          <w:numId w:val="6"/>
        </w:numPr>
        <w:spacing w:after="0"/>
        <w:rPr>
          <w:lang w:val="en-US"/>
        </w:rPr>
      </w:pPr>
      <w:hyperlink r:id="rId13" w:history="1">
        <w:r w:rsidR="007C1CC4" w:rsidRPr="00477705">
          <w:rPr>
            <w:rStyle w:val="Hyperlink"/>
            <w:i/>
            <w:lang w:val="en-US"/>
          </w:rPr>
          <w:t>FLS Quality Standards</w:t>
        </w:r>
      </w:hyperlink>
      <w:r w:rsidR="007C1CC4">
        <w:rPr>
          <w:lang w:val="en-US"/>
        </w:rPr>
        <w:t xml:space="preserve">, a set of </w:t>
      </w:r>
      <w:proofErr w:type="gramStart"/>
      <w:r w:rsidR="007C1CC4">
        <w:rPr>
          <w:lang w:val="en-US"/>
        </w:rPr>
        <w:t>high level</w:t>
      </w:r>
      <w:proofErr w:type="gramEnd"/>
      <w:r w:rsidR="007C1CC4">
        <w:rPr>
          <w:lang w:val="en-US"/>
        </w:rPr>
        <w:t xml:space="preserve"> standards which all FLSs should aspire to.  This document has been endorsed by 8 national professional organizations</w:t>
      </w:r>
      <w:r w:rsidR="00C35E78">
        <w:rPr>
          <w:lang w:val="en-US"/>
        </w:rPr>
        <w:t>.</w:t>
      </w:r>
    </w:p>
    <w:p w14:paraId="2C82E877" w14:textId="368F058E" w:rsidR="00C35E78" w:rsidRDefault="00477705" w:rsidP="00C35E78">
      <w:pPr>
        <w:pStyle w:val="ListParagraph"/>
        <w:numPr>
          <w:ilvl w:val="0"/>
          <w:numId w:val="6"/>
        </w:numPr>
        <w:spacing w:after="0"/>
        <w:rPr>
          <w:lang w:val="en-US"/>
        </w:rPr>
      </w:pPr>
      <w:hyperlink r:id="rId14" w:history="1">
        <w:r w:rsidR="00C35E78" w:rsidRPr="00477705">
          <w:rPr>
            <w:rStyle w:val="Hyperlink"/>
            <w:i/>
            <w:lang w:val="en-US"/>
          </w:rPr>
          <w:t>FLS Works!</w:t>
        </w:r>
      </w:hyperlink>
      <w:r w:rsidR="00C35E78">
        <w:rPr>
          <w:lang w:val="en-US"/>
        </w:rPr>
        <w:t xml:space="preserve"> webinar series</w:t>
      </w:r>
    </w:p>
    <w:p w14:paraId="351CF486" w14:textId="77777777" w:rsidR="005C12A8" w:rsidRPr="005C12A8" w:rsidRDefault="00C35E78" w:rsidP="005C12A8">
      <w:pPr>
        <w:pStyle w:val="ListParagraph"/>
        <w:numPr>
          <w:ilvl w:val="0"/>
          <w:numId w:val="6"/>
        </w:numPr>
        <w:spacing w:after="0"/>
        <w:rPr>
          <w:lang w:val="en-US"/>
        </w:rPr>
      </w:pPr>
      <w:r>
        <w:rPr>
          <w:lang w:val="en-US"/>
        </w:rPr>
        <w:t xml:space="preserve">A free consultation service for new/aspiring </w:t>
      </w:r>
      <w:r w:rsidR="009B5BF7">
        <w:rPr>
          <w:lang w:val="en-US"/>
        </w:rPr>
        <w:t xml:space="preserve">Canadian </w:t>
      </w:r>
      <w:r>
        <w:rPr>
          <w:lang w:val="en-US"/>
        </w:rPr>
        <w:t>FLSs</w:t>
      </w:r>
    </w:p>
    <w:p w14:paraId="32DD839C" w14:textId="061513E0" w:rsidR="005C12A8" w:rsidRDefault="00C35E78" w:rsidP="005C12A8">
      <w:pPr>
        <w:pStyle w:val="ListParagraph"/>
        <w:numPr>
          <w:ilvl w:val="0"/>
          <w:numId w:val="6"/>
        </w:numPr>
        <w:spacing w:after="0"/>
        <w:rPr>
          <w:lang w:val="en-US"/>
        </w:rPr>
      </w:pPr>
      <w:r>
        <w:rPr>
          <w:lang w:val="en-US"/>
        </w:rPr>
        <w:t xml:space="preserve">The </w:t>
      </w:r>
      <w:hyperlink r:id="rId15" w:history="1">
        <w:r w:rsidRPr="00477705">
          <w:rPr>
            <w:rStyle w:val="Hyperlink"/>
            <w:i/>
            <w:lang w:val="en-US"/>
          </w:rPr>
          <w:t>FLS Network</w:t>
        </w:r>
      </w:hyperlink>
      <w:r>
        <w:rPr>
          <w:lang w:val="en-US"/>
        </w:rPr>
        <w:t>, Canada’s largest network of healthcare professionals and healthcare administrators Interested in quality FLS.</w:t>
      </w:r>
      <w:r w:rsidR="001636BD">
        <w:rPr>
          <w:lang w:val="en-US"/>
        </w:rPr>
        <w:t xml:space="preserve">  Members are kept informed </w:t>
      </w:r>
      <w:r w:rsidR="00DF59E2">
        <w:rPr>
          <w:lang w:val="en-US"/>
        </w:rPr>
        <w:t xml:space="preserve">of new developments </w:t>
      </w:r>
      <w:r w:rsidR="001636BD">
        <w:rPr>
          <w:lang w:val="en-US"/>
        </w:rPr>
        <w:t xml:space="preserve">with </w:t>
      </w:r>
      <w:r w:rsidR="001636BD" w:rsidRPr="00DF59E2">
        <w:rPr>
          <w:i/>
          <w:lang w:val="en-US"/>
        </w:rPr>
        <w:t>Liaison</w:t>
      </w:r>
      <w:r w:rsidR="001636BD">
        <w:rPr>
          <w:lang w:val="en-US"/>
        </w:rPr>
        <w:t xml:space="preserve"> newsletters.</w:t>
      </w:r>
    </w:p>
    <w:p w14:paraId="770EC3B9" w14:textId="77777777" w:rsidR="00A15831" w:rsidRDefault="00A15831" w:rsidP="005C12A8">
      <w:pPr>
        <w:pStyle w:val="ListParagraph"/>
        <w:numPr>
          <w:ilvl w:val="0"/>
          <w:numId w:val="6"/>
        </w:numPr>
        <w:spacing w:after="0"/>
        <w:rPr>
          <w:lang w:val="en-US"/>
        </w:rPr>
      </w:pPr>
      <w:r>
        <w:rPr>
          <w:lang w:val="en-US"/>
        </w:rPr>
        <w:t>OC will be conducting Canada’s first ever national FLS audit in 2018.</w:t>
      </w:r>
    </w:p>
    <w:p w14:paraId="0C777810" w14:textId="77777777" w:rsidR="005C12A8" w:rsidRDefault="005C12A8" w:rsidP="005C12A8">
      <w:pPr>
        <w:spacing w:after="0"/>
        <w:rPr>
          <w:lang w:val="en-US"/>
        </w:rPr>
      </w:pPr>
    </w:p>
    <w:p w14:paraId="5E45A7FF" w14:textId="648E0F4A" w:rsidR="0097633D" w:rsidRDefault="00C35E78" w:rsidP="005C12A8">
      <w:pPr>
        <w:spacing w:after="0"/>
        <w:ind w:left="45"/>
        <w:rPr>
          <w:lang w:val="en-US"/>
        </w:rPr>
      </w:pPr>
      <w:r w:rsidRPr="005C12A8">
        <w:rPr>
          <w:lang w:val="en-US"/>
        </w:rPr>
        <w:t xml:space="preserve">OC </w:t>
      </w:r>
      <w:r w:rsidR="005C12A8">
        <w:rPr>
          <w:lang w:val="en-US"/>
        </w:rPr>
        <w:t>provides on-going support for the FLS champions in the provinces, m</w:t>
      </w:r>
      <w:r w:rsidR="0097633D">
        <w:rPr>
          <w:lang w:val="en-US"/>
        </w:rPr>
        <w:t>ost</w:t>
      </w:r>
      <w:r w:rsidR="005C12A8">
        <w:rPr>
          <w:lang w:val="en-US"/>
        </w:rPr>
        <w:t xml:space="preserve"> of whom still do not have an FLS.  OC </w:t>
      </w:r>
      <w:r w:rsidR="00E11653">
        <w:rPr>
          <w:lang w:val="en-US"/>
        </w:rPr>
        <w:t xml:space="preserve">coordinates and </w:t>
      </w:r>
      <w:r w:rsidR="005C12A8">
        <w:rPr>
          <w:lang w:val="en-US"/>
        </w:rPr>
        <w:t xml:space="preserve">helps draft key documents (e.g. business cases, presentations, etc.) </w:t>
      </w:r>
      <w:r w:rsidR="00E11653">
        <w:rPr>
          <w:lang w:val="en-US"/>
        </w:rPr>
        <w:t xml:space="preserve">for meetings with </w:t>
      </w:r>
      <w:r w:rsidR="005C12A8">
        <w:rPr>
          <w:lang w:val="en-US"/>
        </w:rPr>
        <w:t xml:space="preserve">key decision makers.  </w:t>
      </w:r>
      <w:r w:rsidR="00DF59E2">
        <w:rPr>
          <w:lang w:val="en-US"/>
        </w:rPr>
        <w:t xml:space="preserve">National FLS meetings, </w:t>
      </w:r>
      <w:r w:rsidR="00A15831">
        <w:rPr>
          <w:lang w:val="en-US"/>
        </w:rPr>
        <w:t xml:space="preserve">the </w:t>
      </w:r>
      <w:r w:rsidR="00DF59E2">
        <w:rPr>
          <w:lang w:val="en-US"/>
        </w:rPr>
        <w:t xml:space="preserve">FLS Summit in 2014 and </w:t>
      </w:r>
      <w:r w:rsidR="00A15831">
        <w:rPr>
          <w:lang w:val="en-US"/>
        </w:rPr>
        <w:t xml:space="preserve">the </w:t>
      </w:r>
      <w:r w:rsidR="00DF59E2">
        <w:rPr>
          <w:lang w:val="en-US"/>
        </w:rPr>
        <w:t>FLS Forum in 2017, were held to bring together key stakeholders from each province (healthcare professionals, healthcare administrators and persons living with osteoporosis) to help advance the FLS cause in their jurisdictions.</w:t>
      </w:r>
    </w:p>
    <w:p w14:paraId="38ED7734" w14:textId="0902E042" w:rsidR="00C56404" w:rsidRDefault="00C56404" w:rsidP="005C12A8">
      <w:pPr>
        <w:spacing w:after="0"/>
        <w:ind w:left="45"/>
        <w:rPr>
          <w:lang w:val="en-US"/>
        </w:rPr>
      </w:pPr>
    </w:p>
    <w:p w14:paraId="4E61F9B3" w14:textId="2792B07A" w:rsidR="00C56404" w:rsidRDefault="00C56404" w:rsidP="005C12A8">
      <w:pPr>
        <w:spacing w:after="0"/>
        <w:ind w:left="45"/>
        <w:rPr>
          <w:lang w:val="en-US"/>
        </w:rPr>
      </w:pPr>
      <w:r>
        <w:rPr>
          <w:lang w:val="en-US"/>
        </w:rPr>
        <w:t xml:space="preserve">There is </w:t>
      </w:r>
      <w:r w:rsidR="007D2B6A">
        <w:rPr>
          <w:lang w:val="en-US"/>
        </w:rPr>
        <w:t>much</w:t>
      </w:r>
      <w:r>
        <w:rPr>
          <w:lang w:val="en-US"/>
        </w:rPr>
        <w:t xml:space="preserve"> work to be done before every Canadian who suffers a fragility fracture has access to FLS.</w:t>
      </w:r>
    </w:p>
    <w:p w14:paraId="3C05F557" w14:textId="77777777" w:rsidR="00F04B45" w:rsidRDefault="00F04B45" w:rsidP="00F04B45">
      <w:pPr>
        <w:spacing w:after="0"/>
        <w:rPr>
          <w:b/>
          <w:sz w:val="24"/>
          <w:szCs w:val="24"/>
          <w:lang w:val="en-US"/>
        </w:rPr>
      </w:pPr>
    </w:p>
    <w:p w14:paraId="3F0E2C6C" w14:textId="42651C92" w:rsidR="00F04B45" w:rsidRPr="00150F59" w:rsidRDefault="00F04B45" w:rsidP="00F04B45">
      <w:pPr>
        <w:spacing w:after="0"/>
        <w:rPr>
          <w:b/>
          <w:sz w:val="24"/>
          <w:szCs w:val="24"/>
          <w:lang w:val="en-US"/>
        </w:rPr>
      </w:pPr>
      <w:r>
        <w:rPr>
          <w:b/>
          <w:sz w:val="24"/>
          <w:szCs w:val="24"/>
          <w:lang w:val="en-US"/>
        </w:rPr>
        <w:t>Challenges</w:t>
      </w:r>
      <w:r w:rsidRPr="00150F59">
        <w:rPr>
          <w:b/>
          <w:sz w:val="24"/>
          <w:szCs w:val="24"/>
          <w:lang w:val="en-US"/>
        </w:rPr>
        <w:t xml:space="preserve"> to FLS implementation in Canada</w:t>
      </w:r>
    </w:p>
    <w:p w14:paraId="1DCAFDBC" w14:textId="77777777" w:rsidR="00F04B45" w:rsidRDefault="00F04B45" w:rsidP="00F04B45">
      <w:pPr>
        <w:spacing w:after="0"/>
        <w:rPr>
          <w:lang w:val="en-US"/>
        </w:rPr>
      </w:pPr>
      <w:r>
        <w:rPr>
          <w:lang w:val="en-US"/>
        </w:rPr>
        <w:t xml:space="preserve">Given the overwhelming evidence confirming FLS as both clinically effective and cost-saving to the healthcare system, one would normally expect that FLS would quickly become the accepted standard of care for any hospital offering </w:t>
      </w:r>
      <w:proofErr w:type="spellStart"/>
      <w:r>
        <w:rPr>
          <w:lang w:val="en-US"/>
        </w:rPr>
        <w:t>orthopaedic</w:t>
      </w:r>
      <w:proofErr w:type="spellEnd"/>
      <w:r>
        <w:rPr>
          <w:lang w:val="en-US"/>
        </w:rPr>
        <w:t xml:space="preserve"> services.  Unfortunately, in Canada, this is far from true.</w:t>
      </w:r>
    </w:p>
    <w:p w14:paraId="0F74D6A3" w14:textId="77777777" w:rsidR="00F04B45" w:rsidRDefault="00F04B45" w:rsidP="00F04B45">
      <w:pPr>
        <w:spacing w:after="0"/>
        <w:rPr>
          <w:lang w:val="en-US"/>
        </w:rPr>
      </w:pPr>
    </w:p>
    <w:p w14:paraId="105AEDAE" w14:textId="181A08AC" w:rsidR="00F04B45" w:rsidRDefault="00F04B45" w:rsidP="00F04B45">
      <w:pPr>
        <w:spacing w:after="0"/>
        <w:rPr>
          <w:lang w:val="en-US"/>
        </w:rPr>
      </w:pPr>
      <w:r>
        <w:rPr>
          <w:lang w:val="en-US"/>
        </w:rPr>
        <w:t xml:space="preserve">Forty-five FLSs (the number listed on the OC </w:t>
      </w:r>
      <w:hyperlink r:id="rId16" w:history="1">
        <w:r w:rsidRPr="00477705">
          <w:rPr>
            <w:rStyle w:val="Hyperlink"/>
            <w:i/>
            <w:lang w:val="en-US"/>
          </w:rPr>
          <w:t>FLS Registry</w:t>
        </w:r>
      </w:hyperlink>
      <w:r>
        <w:rPr>
          <w:lang w:val="en-US"/>
        </w:rPr>
        <w:t xml:space="preserve"> as of December 2017) falls far short from what’s needed.  Five of the 10 provinces still do not have a single FLS.  Of the other provinces, none has close to full coverage to provide FLS for all its fragility fracture patients.  The overwhelming majority of fracture patients in Canada still do not have access to an FLS.  This is unacceptable, yet it is the current Canadian reality.</w:t>
      </w:r>
    </w:p>
    <w:p w14:paraId="0B5CE41C" w14:textId="77777777" w:rsidR="00F04B45" w:rsidRDefault="00F04B45" w:rsidP="00F04B45">
      <w:pPr>
        <w:spacing w:after="0"/>
        <w:rPr>
          <w:lang w:val="en-US"/>
        </w:rPr>
      </w:pPr>
    </w:p>
    <w:p w14:paraId="05A7CCFC" w14:textId="77777777" w:rsidR="00F04B45" w:rsidRDefault="00F04B45" w:rsidP="00F04B45">
      <w:pPr>
        <w:spacing w:after="0"/>
        <w:rPr>
          <w:lang w:val="en-US"/>
        </w:rPr>
      </w:pPr>
      <w:r>
        <w:rPr>
          <w:lang w:val="en-US"/>
        </w:rPr>
        <w:t>Although the healthcare systems vary from province to province, the obstacles to FLS implementation are amazingly similar across the country:</w:t>
      </w:r>
    </w:p>
    <w:p w14:paraId="116F859D" w14:textId="77777777" w:rsidR="00F04B45" w:rsidRDefault="00F04B45" w:rsidP="00F04B45">
      <w:pPr>
        <w:pStyle w:val="ListParagraph"/>
        <w:numPr>
          <w:ilvl w:val="0"/>
          <w:numId w:val="7"/>
        </w:numPr>
        <w:spacing w:after="0"/>
        <w:rPr>
          <w:lang w:val="en-US"/>
        </w:rPr>
      </w:pPr>
      <w:r w:rsidRPr="00CA7626">
        <w:rPr>
          <w:u w:val="single"/>
          <w:lang w:val="en-US"/>
        </w:rPr>
        <w:t>Lack of awareness of osteoporosis</w:t>
      </w:r>
      <w:r>
        <w:rPr>
          <w:lang w:val="en-US"/>
        </w:rPr>
        <w:t>:</w:t>
      </w:r>
    </w:p>
    <w:p w14:paraId="7E6595FF" w14:textId="77777777" w:rsidR="00F04B45" w:rsidRDefault="00F04B45" w:rsidP="00F04B45">
      <w:pPr>
        <w:pStyle w:val="ListParagraph"/>
        <w:spacing w:after="0"/>
      </w:pPr>
      <w:r>
        <w:t>Osteoporosis has neither the recognition nor the respect afforded to other chronic diseases by healthcare administrators.  This is in large part because of lack of awareness of the disease and its consequences for patients.</w:t>
      </w:r>
    </w:p>
    <w:p w14:paraId="1A386029" w14:textId="77777777" w:rsidR="00F04B45" w:rsidRDefault="00F04B45" w:rsidP="00F04B45">
      <w:pPr>
        <w:pStyle w:val="ListParagraph"/>
        <w:spacing w:after="0"/>
        <w:rPr>
          <w:lang w:val="en-US"/>
        </w:rPr>
      </w:pPr>
    </w:p>
    <w:p w14:paraId="7FCDB692" w14:textId="77777777" w:rsidR="00F04B45" w:rsidRDefault="00F04B45" w:rsidP="00F04B45">
      <w:pPr>
        <w:pStyle w:val="ListParagraph"/>
        <w:spacing w:after="0"/>
        <w:rPr>
          <w:lang w:val="en-US"/>
        </w:rPr>
      </w:pPr>
      <w:r>
        <w:rPr>
          <w:lang w:val="en-US"/>
        </w:rPr>
        <w:t>Compounding this is the confusion and misinformation that still exist about osteoporosis.  Common misconceptions abound: osteoporosis is frequently confused with osteoarthritis, osteoporosis is only a mild disease with no serious complications, BMD testing is considered useless, osteoporosis medications are dangerous, no one can prevent fractures, etc.</w:t>
      </w:r>
    </w:p>
    <w:p w14:paraId="11E1E94A" w14:textId="77777777" w:rsidR="00F04B45" w:rsidRDefault="00F04B45" w:rsidP="00F04B45">
      <w:pPr>
        <w:pStyle w:val="ListParagraph"/>
        <w:spacing w:after="0"/>
        <w:rPr>
          <w:lang w:val="en-US"/>
        </w:rPr>
      </w:pPr>
    </w:p>
    <w:p w14:paraId="22BF853D" w14:textId="77777777" w:rsidR="00F04B45" w:rsidRDefault="00F04B45" w:rsidP="00F04B45">
      <w:pPr>
        <w:pStyle w:val="ListParagraph"/>
        <w:spacing w:after="0"/>
        <w:rPr>
          <w:lang w:val="en-US"/>
        </w:rPr>
      </w:pPr>
      <w:r>
        <w:rPr>
          <w:lang w:val="en-US"/>
        </w:rPr>
        <w:t>Before our champions can advocate for FLS, they often have to start by educating the healthcare administrators/decision makers about osteoporosis rendering it impossible to effectively advocate for FLS in a 10-minute meeting.</w:t>
      </w:r>
    </w:p>
    <w:p w14:paraId="28674855" w14:textId="77777777" w:rsidR="00F04B45" w:rsidRPr="00CA7626" w:rsidRDefault="00F04B45" w:rsidP="00F04B45">
      <w:pPr>
        <w:pStyle w:val="ListParagraph"/>
        <w:spacing w:after="0"/>
        <w:rPr>
          <w:lang w:val="en-US"/>
        </w:rPr>
      </w:pPr>
    </w:p>
    <w:p w14:paraId="1D4EB02F" w14:textId="77777777" w:rsidR="00F04B45" w:rsidRDefault="00F04B45" w:rsidP="00F04B45">
      <w:pPr>
        <w:pStyle w:val="ListParagraph"/>
        <w:numPr>
          <w:ilvl w:val="0"/>
          <w:numId w:val="7"/>
        </w:numPr>
        <w:spacing w:after="0"/>
        <w:rPr>
          <w:lang w:val="en-US"/>
        </w:rPr>
      </w:pPr>
      <w:r>
        <w:rPr>
          <w:u w:val="single"/>
          <w:lang w:val="en-US"/>
        </w:rPr>
        <w:t>No home for osteoporosis in the Canadian healthcare system</w:t>
      </w:r>
      <w:r w:rsidRPr="00CA7626">
        <w:rPr>
          <w:lang w:val="en-US"/>
        </w:rPr>
        <w:t>:</w:t>
      </w:r>
    </w:p>
    <w:p w14:paraId="6EC9C39A" w14:textId="77777777" w:rsidR="00F04B45" w:rsidRDefault="00F04B45" w:rsidP="00F04B45">
      <w:pPr>
        <w:pStyle w:val="ListParagraph"/>
        <w:spacing w:after="0"/>
        <w:rPr>
          <w:lang w:val="en-US"/>
        </w:rPr>
      </w:pPr>
      <w:r>
        <w:rPr>
          <w:lang w:val="en-US"/>
        </w:rPr>
        <w:t xml:space="preserve">In most jurisdictions, osteoporosis is completely absent within the healthcare administrative infrastructure.  No healthcare administrator has osteoporosis within their portfolio.  </w:t>
      </w:r>
    </w:p>
    <w:p w14:paraId="4D61E48E" w14:textId="77777777" w:rsidR="00F04B45" w:rsidRDefault="00F04B45" w:rsidP="00F04B45">
      <w:pPr>
        <w:pStyle w:val="ListParagraph"/>
        <w:spacing w:after="0"/>
        <w:rPr>
          <w:lang w:val="en-US"/>
        </w:rPr>
      </w:pPr>
    </w:p>
    <w:p w14:paraId="3F89EDEF" w14:textId="77777777" w:rsidR="00F04B45" w:rsidRDefault="00F04B45" w:rsidP="00F04B45">
      <w:pPr>
        <w:pStyle w:val="ListParagraph"/>
        <w:spacing w:after="0"/>
        <w:rPr>
          <w:lang w:val="en-US"/>
        </w:rPr>
      </w:pPr>
      <w:r>
        <w:rPr>
          <w:lang w:val="en-US"/>
        </w:rPr>
        <w:t>Since no one owns osteoporosis, it typically will take months to find one single healthcare administrator with the courage to champion FLS which invariably will fall outside the limits of his/her portfolio.  To complicate the issue, most provinces are undergoing massive restructuring of their healthcare systems.  When such structures fall, so do the administrators.  The search for a home for FLS within the new administrative infrastructure must start all over from scratch.</w:t>
      </w:r>
    </w:p>
    <w:p w14:paraId="2979B534" w14:textId="77777777" w:rsidR="00F04B45" w:rsidRDefault="00F04B45" w:rsidP="00F04B45">
      <w:pPr>
        <w:pStyle w:val="ListParagraph"/>
        <w:spacing w:after="0"/>
        <w:rPr>
          <w:lang w:val="en-US"/>
        </w:rPr>
      </w:pPr>
    </w:p>
    <w:p w14:paraId="3D295B64" w14:textId="77777777" w:rsidR="00F04B45" w:rsidRPr="005F44C8" w:rsidRDefault="00F04B45" w:rsidP="00F04B45">
      <w:pPr>
        <w:pStyle w:val="ListParagraph"/>
        <w:numPr>
          <w:ilvl w:val="0"/>
          <w:numId w:val="7"/>
        </w:numPr>
        <w:spacing w:after="0"/>
        <w:rPr>
          <w:u w:val="single"/>
          <w:lang w:val="en-US"/>
        </w:rPr>
      </w:pPr>
      <w:r>
        <w:rPr>
          <w:u w:val="single"/>
          <w:lang w:val="en-US"/>
        </w:rPr>
        <w:t>Reluctance</w:t>
      </w:r>
      <w:r w:rsidRPr="005F44C8">
        <w:rPr>
          <w:u w:val="single"/>
          <w:lang w:val="en-US"/>
        </w:rPr>
        <w:t xml:space="preserve"> of government</w:t>
      </w:r>
      <w:r>
        <w:rPr>
          <w:u w:val="single"/>
          <w:lang w:val="en-US"/>
        </w:rPr>
        <w:t>s</w:t>
      </w:r>
      <w:r w:rsidRPr="005F44C8">
        <w:rPr>
          <w:u w:val="single"/>
          <w:lang w:val="en-US"/>
        </w:rPr>
        <w:t xml:space="preserve"> to fund new FLSs</w:t>
      </w:r>
      <w:r>
        <w:rPr>
          <w:u w:val="single"/>
          <w:lang w:val="en-US"/>
        </w:rPr>
        <w:t>:</w:t>
      </w:r>
    </w:p>
    <w:p w14:paraId="76A3DA73" w14:textId="77777777" w:rsidR="00F04B45" w:rsidRDefault="00F04B45" w:rsidP="00F04B45">
      <w:pPr>
        <w:spacing w:after="0"/>
        <w:ind w:left="720"/>
        <w:rPr>
          <w:lang w:val="en-US"/>
        </w:rPr>
      </w:pPr>
      <w:r>
        <w:rPr>
          <w:lang w:val="en-US"/>
        </w:rPr>
        <w:t xml:space="preserve">It’s repeated time and time again: “there is no new money in the healthcare system”.  It therefore boils down to simple math: any money given to a new FLS invariably has to be “stolen” from elsewhere in the healthcare system.  </w:t>
      </w:r>
    </w:p>
    <w:p w14:paraId="070066CA" w14:textId="77777777" w:rsidR="00F04B45" w:rsidRDefault="00F04B45" w:rsidP="00F04B45">
      <w:pPr>
        <w:spacing w:after="0"/>
        <w:ind w:left="720"/>
        <w:rPr>
          <w:lang w:val="en-US"/>
        </w:rPr>
      </w:pPr>
    </w:p>
    <w:p w14:paraId="35741459" w14:textId="77777777" w:rsidR="00F04B45" w:rsidRDefault="00F04B45" w:rsidP="00F04B45">
      <w:pPr>
        <w:spacing w:after="0"/>
        <w:ind w:left="720"/>
        <w:rPr>
          <w:lang w:val="en-US"/>
        </w:rPr>
      </w:pPr>
      <w:r>
        <w:rPr>
          <w:lang w:val="en-US"/>
        </w:rPr>
        <w:t>Stepping up to FLS therefore represents an extremely difficult dilemma for healthcare administrators.  Given the relative rarity of FLSs in Canada, many healthcare administrators prefer to wait and see what other jurisdictions will do, a classic catch-22 situation.</w:t>
      </w:r>
    </w:p>
    <w:p w14:paraId="413D6051" w14:textId="77777777" w:rsidR="00F04B45" w:rsidRPr="005F44C8" w:rsidRDefault="00F04B45" w:rsidP="00F04B45">
      <w:pPr>
        <w:spacing w:after="0"/>
        <w:ind w:left="720"/>
        <w:rPr>
          <w:lang w:val="en-US"/>
        </w:rPr>
      </w:pPr>
    </w:p>
    <w:p w14:paraId="6AA4CFED" w14:textId="77777777" w:rsidR="00F04B45" w:rsidRDefault="00F04B45" w:rsidP="00F04B45">
      <w:pPr>
        <w:pStyle w:val="ListParagraph"/>
        <w:numPr>
          <w:ilvl w:val="0"/>
          <w:numId w:val="7"/>
        </w:numPr>
        <w:spacing w:after="0"/>
        <w:rPr>
          <w:lang w:val="en-US"/>
        </w:rPr>
      </w:pPr>
      <w:r>
        <w:rPr>
          <w:u w:val="single"/>
          <w:lang w:val="en-US"/>
        </w:rPr>
        <w:t>Disregard</w:t>
      </w:r>
      <w:r w:rsidRPr="004A2720">
        <w:rPr>
          <w:u w:val="single"/>
          <w:lang w:val="en-US"/>
        </w:rPr>
        <w:t xml:space="preserve"> </w:t>
      </w:r>
      <w:r>
        <w:rPr>
          <w:u w:val="single"/>
          <w:lang w:val="en-US"/>
        </w:rPr>
        <w:t>for</w:t>
      </w:r>
      <w:r w:rsidRPr="004A2720">
        <w:rPr>
          <w:u w:val="single"/>
          <w:lang w:val="en-US"/>
        </w:rPr>
        <w:t xml:space="preserve"> the evidence</w:t>
      </w:r>
      <w:r>
        <w:rPr>
          <w:lang w:val="en-US"/>
        </w:rPr>
        <w:t>:</w:t>
      </w:r>
    </w:p>
    <w:p w14:paraId="4FC9A265" w14:textId="77777777" w:rsidR="00F04B45" w:rsidRDefault="00F04B45" w:rsidP="00F04B45">
      <w:pPr>
        <w:pStyle w:val="ListParagraph"/>
        <w:spacing w:after="0"/>
        <w:rPr>
          <w:lang w:val="en-US"/>
        </w:rPr>
      </w:pPr>
      <w:r>
        <w:rPr>
          <w:lang w:val="en-US"/>
        </w:rPr>
        <w:t>The evidence is clear: only models with dedicated personnel reaching a critical intensity (Type A and B models as defined by the Ganda meta-analysis</w:t>
      </w:r>
      <w:r w:rsidRPr="002C644D">
        <w:rPr>
          <w:color w:val="FF0000"/>
          <w:vertAlign w:val="superscript"/>
          <w:lang w:val="en-US"/>
        </w:rPr>
        <w:t>3</w:t>
      </w:r>
      <w:r>
        <w:rPr>
          <w:lang w:val="en-US"/>
        </w:rPr>
        <w:t>) are successful in making a meaningful impact on the post-fracture care gap.</w:t>
      </w:r>
    </w:p>
    <w:p w14:paraId="0567DABB" w14:textId="77777777" w:rsidR="00F04B45" w:rsidRDefault="00F04B45" w:rsidP="00F04B45">
      <w:pPr>
        <w:pStyle w:val="ListParagraph"/>
        <w:spacing w:after="0"/>
        <w:rPr>
          <w:lang w:val="en-US"/>
        </w:rPr>
      </w:pPr>
    </w:p>
    <w:p w14:paraId="7C3EE9D5" w14:textId="77777777" w:rsidR="00F04B45" w:rsidRDefault="00F04B45" w:rsidP="00F04B45">
      <w:pPr>
        <w:pStyle w:val="ListParagraph"/>
        <w:spacing w:after="0"/>
        <w:rPr>
          <w:lang w:val="en-US"/>
        </w:rPr>
      </w:pPr>
      <w:r>
        <w:rPr>
          <w:lang w:val="en-US"/>
        </w:rPr>
        <w:t xml:space="preserve">However, faced with “there is no new money” and repeated failed advocacy attempts, many caring healthcare professionals/administrators will fall back to implementing a “no cost” or “very low cost” intervention.   OC has witnessed many such “no cost” models delaying the implementation of a true FLS for years while outcomes are being measured.   </w:t>
      </w:r>
    </w:p>
    <w:p w14:paraId="149D8F89" w14:textId="77777777" w:rsidR="00F04B45" w:rsidRDefault="00F04B45" w:rsidP="00F04B45">
      <w:pPr>
        <w:pStyle w:val="ListParagraph"/>
        <w:spacing w:after="0"/>
        <w:rPr>
          <w:lang w:val="en-US"/>
        </w:rPr>
      </w:pPr>
    </w:p>
    <w:p w14:paraId="7B9837AF" w14:textId="77777777" w:rsidR="00F04B45" w:rsidRDefault="00F04B45" w:rsidP="00F04B45">
      <w:pPr>
        <w:spacing w:after="0"/>
        <w:rPr>
          <w:lang w:val="en-US"/>
        </w:rPr>
      </w:pPr>
      <w:r w:rsidRPr="005D4DA3">
        <w:rPr>
          <w:b/>
          <w:sz w:val="24"/>
          <w:szCs w:val="24"/>
          <w:lang w:val="en-US"/>
        </w:rPr>
        <w:t>The future of FLS in Canada</w:t>
      </w:r>
    </w:p>
    <w:p w14:paraId="199D2844" w14:textId="77777777" w:rsidR="00F04B45" w:rsidRDefault="00F04B45" w:rsidP="00F04B45">
      <w:pPr>
        <w:spacing w:after="0"/>
        <w:rPr>
          <w:lang w:val="en-US"/>
        </w:rPr>
      </w:pPr>
      <w:r>
        <w:rPr>
          <w:lang w:val="en-US"/>
        </w:rPr>
        <w:t xml:space="preserve">The evidence supporting the effectiveness of FLS is overwhelming, even when only healthcare costs are considered.  No jurisdiction can afford to keep paying for expensive hip fractures that could have been prevented.  FLS is therefore not an “if”, but a “when”.  </w:t>
      </w:r>
    </w:p>
    <w:p w14:paraId="3D1E7D90" w14:textId="77777777" w:rsidR="00F04B45" w:rsidRDefault="00F04B45" w:rsidP="00F04B45">
      <w:pPr>
        <w:spacing w:after="0"/>
        <w:rPr>
          <w:lang w:val="en-US"/>
        </w:rPr>
      </w:pPr>
    </w:p>
    <w:p w14:paraId="55C3D461" w14:textId="77777777" w:rsidR="00F04B45" w:rsidRDefault="00F04B45" w:rsidP="00F04B45">
      <w:pPr>
        <w:spacing w:after="0"/>
        <w:rPr>
          <w:lang w:val="en-US"/>
        </w:rPr>
      </w:pPr>
      <w:r>
        <w:rPr>
          <w:lang w:val="en-US"/>
        </w:rPr>
        <w:t xml:space="preserve">And yet, every FLS team aspiring for a new FLS in Canada is facing a very steep uphill climb.  They need to locate at least one healthcare administrator willing to champion the FLS cause in a healthcare administrative structure where osteoporosis currently has no home.  They then need to persist in their advocacy efforts for months/years until funding can be secured. </w:t>
      </w:r>
    </w:p>
    <w:p w14:paraId="54B769A0" w14:textId="77777777" w:rsidR="00F04B45" w:rsidRDefault="00F04B45" w:rsidP="00F04B45">
      <w:pPr>
        <w:spacing w:after="0"/>
        <w:rPr>
          <w:lang w:val="en-US"/>
        </w:rPr>
      </w:pPr>
    </w:p>
    <w:p w14:paraId="1B5BF78B" w14:textId="77777777" w:rsidR="00F04B45" w:rsidRDefault="00F04B45" w:rsidP="00F04B45">
      <w:pPr>
        <w:spacing w:after="0"/>
        <w:rPr>
          <w:lang w:val="en-US"/>
        </w:rPr>
      </w:pPr>
      <w:r>
        <w:rPr>
          <w:lang w:val="en-US"/>
        </w:rPr>
        <w:t>There have been some successes.  Some provincial governments have stepped up.  As of December 2017, Ontario, Alberta and Nova Scotia have FLSs in place in select hospitals as part of an overall provincial government strategy to gradually expand FLS coverage for their fragility fracture patients in future.  A handful of other FLSs in Canada are the result of decisions made by forward-thinking local hospital administrators.</w:t>
      </w:r>
    </w:p>
    <w:p w14:paraId="32344FDC" w14:textId="77777777" w:rsidR="00F04B45" w:rsidRDefault="00F04B45" w:rsidP="00F04B45">
      <w:pPr>
        <w:spacing w:after="0"/>
        <w:rPr>
          <w:lang w:val="en-US"/>
        </w:rPr>
      </w:pPr>
    </w:p>
    <w:p w14:paraId="1BE885E3" w14:textId="77777777" w:rsidR="00F04B45" w:rsidRPr="005D4DA3" w:rsidRDefault="00F04B45" w:rsidP="00F04B45">
      <w:pPr>
        <w:spacing w:after="0"/>
        <w:rPr>
          <w:lang w:val="en-US"/>
        </w:rPr>
      </w:pPr>
      <w:r>
        <w:rPr>
          <w:lang w:val="en-US"/>
        </w:rPr>
        <w:t>FLS is quickly becoming the standard of care for fragility fracture patients internationally, but remains a fairly foreign entity in Canada.  There will eventually be a tipping point in Canada’s future but in the meantime, we must keep climbing those very steep hills.</w:t>
      </w:r>
    </w:p>
    <w:p w14:paraId="725709C4" w14:textId="101EA5FB" w:rsidR="00A63B82" w:rsidRDefault="00A63B82" w:rsidP="005C12A8">
      <w:pPr>
        <w:spacing w:after="0"/>
        <w:ind w:left="45"/>
        <w:rPr>
          <w:lang w:val="en-US"/>
        </w:rPr>
      </w:pPr>
    </w:p>
    <w:p w14:paraId="1BDFC56F" w14:textId="77777777" w:rsidR="00F04B45" w:rsidRDefault="00F04B45"/>
    <w:p w14:paraId="64ECB19A" w14:textId="77777777" w:rsidR="00F04B45" w:rsidRDefault="00F04B45"/>
    <w:p w14:paraId="5D874207" w14:textId="77777777" w:rsidR="00F04B45" w:rsidRDefault="00F04B45"/>
    <w:p w14:paraId="09D10EEA" w14:textId="77777777" w:rsidR="00F04B45" w:rsidRDefault="00F04B45"/>
    <w:p w14:paraId="0F84AA4F" w14:textId="77777777" w:rsidR="00F04B45" w:rsidRDefault="00F04B45"/>
    <w:p w14:paraId="0169E86E" w14:textId="30097F60" w:rsidR="00477705" w:rsidRDefault="00477705"/>
    <w:p w14:paraId="647CED92" w14:textId="5706842C" w:rsidR="00477705" w:rsidRDefault="00150F59">
      <w:bookmarkStart w:id="1" w:name="box"/>
      <w:bookmarkEnd w:id="1"/>
      <w:r>
        <w:rPr>
          <w:noProof/>
          <w:lang w:val="en-US"/>
        </w:rPr>
        <w:lastRenderedPageBreak/>
        <mc:AlternateContent>
          <mc:Choice Requires="wps">
            <w:drawing>
              <wp:anchor distT="0" distB="0" distL="114300" distR="114300" simplePos="0" relativeHeight="251661312" behindDoc="0" locked="0" layoutInCell="1" allowOverlap="1" wp14:anchorId="0BAF3FBF" wp14:editId="02ABFCF4">
                <wp:simplePos x="0" y="0"/>
                <wp:positionH relativeFrom="margin">
                  <wp:align>right</wp:align>
                </wp:positionH>
                <wp:positionV relativeFrom="paragraph">
                  <wp:posOffset>413385</wp:posOffset>
                </wp:positionV>
                <wp:extent cx="5934075" cy="23431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934075" cy="2343150"/>
                        </a:xfrm>
                        <a:prstGeom prst="rect">
                          <a:avLst/>
                        </a:prstGeom>
                        <a:solidFill>
                          <a:sysClr val="window" lastClr="FFFFFF"/>
                        </a:solidFill>
                        <a:ln w="6350">
                          <a:solidFill>
                            <a:prstClr val="black"/>
                          </a:solidFill>
                        </a:ln>
                      </wps:spPr>
                      <wps:txbx>
                        <w:txbxContent>
                          <w:p w14:paraId="18353F9B" w14:textId="77777777" w:rsidR="0056330E" w:rsidRPr="00A96C32" w:rsidRDefault="0056330E" w:rsidP="00E2474E">
                            <w:pPr>
                              <w:spacing w:after="120" w:line="240" w:lineRule="auto"/>
                              <w:rPr>
                                <w:rFonts w:ascii="Calibri Light" w:eastAsia="Calibri" w:hAnsi="Calibri Light" w:cs="Arial"/>
                                <w:b/>
                                <w:sz w:val="24"/>
                                <w:szCs w:val="24"/>
                                <w:lang w:val="en-US"/>
                              </w:rPr>
                            </w:pPr>
                            <w:r w:rsidRPr="00A96C32">
                              <w:rPr>
                                <w:rFonts w:ascii="Calibri Light" w:eastAsia="Calibri" w:hAnsi="Calibri Light" w:cs="Arial"/>
                                <w:b/>
                                <w:sz w:val="24"/>
                                <w:szCs w:val="24"/>
                                <w:lang w:val="en-US"/>
                              </w:rPr>
                              <w:t>A Fracture Liaison Service (FLS) is a specific system</w:t>
                            </w:r>
                            <w:r>
                              <w:rPr>
                                <w:rFonts w:ascii="Calibri Light" w:eastAsia="Calibri" w:hAnsi="Calibri Light" w:cs="Arial"/>
                                <w:b/>
                                <w:sz w:val="24"/>
                                <w:szCs w:val="24"/>
                                <w:lang w:val="en-US"/>
                              </w:rPr>
                              <w:t>s</w:t>
                            </w:r>
                            <w:r w:rsidRPr="00A96C32">
                              <w:rPr>
                                <w:rFonts w:ascii="Calibri Light" w:eastAsia="Calibri" w:hAnsi="Calibri Light" w:cs="Arial"/>
                                <w:b/>
                                <w:sz w:val="24"/>
                                <w:szCs w:val="24"/>
                                <w:lang w:val="en-US"/>
                              </w:rPr>
                              <w:t>-based model of care for secondary fracture prevention where a dedicated coordinator:</w:t>
                            </w:r>
                          </w:p>
                          <w:tbl>
                            <w:tblPr>
                              <w:tblStyle w:val="MediumGrid1-Accent41"/>
                              <w:tblW w:w="0" w:type="auto"/>
                              <w:tblInd w:w="108" w:type="dxa"/>
                              <w:tblBorders>
                                <w:top w:val="none" w:sz="0" w:space="0" w:color="auto"/>
                                <w:left w:val="none" w:sz="0" w:space="0" w:color="auto"/>
                                <w:bottom w:val="none" w:sz="0" w:space="0" w:color="auto"/>
                                <w:right w:val="none" w:sz="0" w:space="0" w:color="auto"/>
                                <w:insideH w:val="single" w:sz="18" w:space="0" w:color="FFFFFF"/>
                                <w:insideV w:val="none" w:sz="0" w:space="0" w:color="auto"/>
                              </w:tblBorders>
                              <w:tblLook w:val="04A0" w:firstRow="1" w:lastRow="0" w:firstColumn="1" w:lastColumn="0" w:noHBand="0" w:noVBand="1"/>
                            </w:tblPr>
                            <w:tblGrid>
                              <w:gridCol w:w="1860"/>
                              <w:gridCol w:w="7294"/>
                            </w:tblGrid>
                            <w:tr w:rsidR="0056330E" w:rsidRPr="00A96C32" w14:paraId="65377DF0" w14:textId="77777777" w:rsidTr="00A96C32">
                              <w:trPr>
                                <w:cnfStyle w:val="100000000000" w:firstRow="1" w:lastRow="0" w:firstColumn="0" w:lastColumn="0" w:oddVBand="0" w:evenVBand="0" w:oddHBand="0"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1473" w:type="dxa"/>
                                  <w:shd w:val="clear" w:color="auto" w:fill="E5DFEC"/>
                                  <w:vAlign w:val="center"/>
                                </w:tcPr>
                                <w:p w14:paraId="4DD5D1FC" w14:textId="77777777" w:rsidR="0056330E" w:rsidRPr="00A96C32" w:rsidRDefault="0056330E" w:rsidP="00A96C32">
                                  <w:pPr>
                                    <w:spacing w:after="120"/>
                                    <w:rPr>
                                      <w:rFonts w:ascii="Calibri Light" w:eastAsia="Calibri" w:hAnsi="Calibri Light" w:cs="Arial"/>
                                      <w:color w:val="000000"/>
                                      <w:sz w:val="24"/>
                                      <w:szCs w:val="24"/>
                                      <w:lang w:val="en-US"/>
                                    </w:rPr>
                                  </w:pPr>
                                  <w:r w:rsidRPr="00A96C32">
                                    <w:rPr>
                                      <w:rFonts w:ascii="Calibri Light" w:eastAsia="Calibri" w:hAnsi="Calibri Light" w:cs="Arial"/>
                                      <w:color w:val="000000"/>
                                      <w:sz w:val="24"/>
                                      <w:szCs w:val="24"/>
                                      <w:lang w:val="en-US"/>
                                    </w:rPr>
                                    <w:t>Identification</w:t>
                                  </w:r>
                                </w:p>
                              </w:tc>
                              <w:tc>
                                <w:tcPr>
                                  <w:tcW w:w="7995" w:type="dxa"/>
                                  <w:shd w:val="clear" w:color="auto" w:fill="FFFFFF"/>
                                  <w:vAlign w:val="center"/>
                                </w:tcPr>
                                <w:p w14:paraId="1EE57EA0" w14:textId="77777777" w:rsidR="0056330E" w:rsidRPr="00A96C32" w:rsidRDefault="0056330E" w:rsidP="00A96C32">
                                  <w:pPr>
                                    <w:numPr>
                                      <w:ilvl w:val="0"/>
                                      <w:numId w:val="2"/>
                                    </w:numPr>
                                    <w:spacing w:after="120"/>
                                    <w:ind w:left="239" w:hanging="239"/>
                                    <w:contextualSpacing/>
                                    <w:cnfStyle w:val="100000000000" w:firstRow="1" w:lastRow="0" w:firstColumn="0" w:lastColumn="0" w:oddVBand="0" w:evenVBand="0" w:oddHBand="0" w:evenHBand="0" w:firstRowFirstColumn="0" w:firstRowLastColumn="0" w:lastRowFirstColumn="0" w:lastRowLastColumn="0"/>
                                    <w:rPr>
                                      <w:rFonts w:ascii="Calibri Light" w:eastAsia="Calibri" w:hAnsi="Calibri Light" w:cs="Arial"/>
                                      <w:b w:val="0"/>
                                      <w:sz w:val="24"/>
                                      <w:szCs w:val="24"/>
                                      <w:lang w:val="en-US"/>
                                    </w:rPr>
                                  </w:pPr>
                                  <w:r w:rsidRPr="00A96C32">
                                    <w:rPr>
                                      <w:rFonts w:ascii="Calibri Light" w:eastAsia="Calibri" w:hAnsi="Calibri Light" w:cs="Arial"/>
                                      <w:b w:val="0"/>
                                      <w:sz w:val="24"/>
                                      <w:szCs w:val="24"/>
                                      <w:lang w:val="en-US"/>
                                    </w:rPr>
                                    <w:t>systematically and proactively identifies patients aged 50 years and older presenting to a hospital with a new fragility fracture and/or with a newly reported vertebral fracture;</w:t>
                                  </w:r>
                                </w:p>
                              </w:tc>
                            </w:tr>
                            <w:tr w:rsidR="0056330E" w:rsidRPr="00A96C32" w14:paraId="69A40996" w14:textId="77777777" w:rsidTr="00A96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E5DFEC"/>
                                  <w:vAlign w:val="center"/>
                                </w:tcPr>
                                <w:p w14:paraId="1CE75AC6" w14:textId="77777777" w:rsidR="0056330E" w:rsidRPr="00A96C32" w:rsidRDefault="0056330E" w:rsidP="00A96C32">
                                  <w:pPr>
                                    <w:spacing w:after="120"/>
                                    <w:rPr>
                                      <w:rFonts w:ascii="Calibri Light" w:eastAsia="Calibri" w:hAnsi="Calibri Light" w:cs="Arial"/>
                                      <w:color w:val="000000"/>
                                      <w:sz w:val="24"/>
                                      <w:szCs w:val="24"/>
                                      <w:lang w:val="en-US"/>
                                    </w:rPr>
                                  </w:pPr>
                                  <w:r w:rsidRPr="00A96C32">
                                    <w:rPr>
                                      <w:rFonts w:ascii="Calibri Light" w:eastAsia="Calibri" w:hAnsi="Calibri Light" w:cs="Arial"/>
                                      <w:color w:val="000000"/>
                                      <w:sz w:val="24"/>
                                      <w:szCs w:val="24"/>
                                      <w:lang w:val="en-US"/>
                                    </w:rPr>
                                    <w:t>Investigation</w:t>
                                  </w:r>
                                </w:p>
                              </w:tc>
                              <w:tc>
                                <w:tcPr>
                                  <w:tcW w:w="7995" w:type="dxa"/>
                                  <w:shd w:val="clear" w:color="auto" w:fill="FFFFFF"/>
                                  <w:vAlign w:val="center"/>
                                </w:tcPr>
                                <w:p w14:paraId="729217B2" w14:textId="77777777" w:rsidR="0056330E" w:rsidRPr="00A96C32" w:rsidRDefault="0056330E" w:rsidP="00A96C32">
                                  <w:pPr>
                                    <w:numPr>
                                      <w:ilvl w:val="0"/>
                                      <w:numId w:val="2"/>
                                    </w:numPr>
                                    <w:spacing w:after="120"/>
                                    <w:ind w:left="239" w:hanging="239"/>
                                    <w:contextualSpacing/>
                                    <w:cnfStyle w:val="000000100000" w:firstRow="0" w:lastRow="0" w:firstColumn="0" w:lastColumn="0" w:oddVBand="0" w:evenVBand="0" w:oddHBand="1" w:evenHBand="0" w:firstRowFirstColumn="0" w:firstRowLastColumn="0" w:lastRowFirstColumn="0" w:lastRowLastColumn="0"/>
                                    <w:rPr>
                                      <w:rFonts w:ascii="Calibri Light" w:eastAsia="Calibri" w:hAnsi="Calibri Light" w:cs="Arial"/>
                                      <w:sz w:val="24"/>
                                      <w:szCs w:val="24"/>
                                      <w:lang w:val="en-US"/>
                                    </w:rPr>
                                  </w:pPr>
                                  <w:r w:rsidRPr="00A96C32">
                                    <w:rPr>
                                      <w:rFonts w:ascii="Calibri Light" w:eastAsia="Calibri" w:hAnsi="Calibri Light" w:cs="Arial"/>
                                      <w:noProof/>
                                      <w:sz w:val="24"/>
                                      <w:szCs w:val="24"/>
                                      <w:lang w:eastAsia="en-CA"/>
                                    </w:rPr>
                                    <w:t>organizes</w:t>
                                  </w:r>
                                  <w:r w:rsidRPr="00A96C32">
                                    <w:rPr>
                                      <w:rFonts w:ascii="Calibri Light" w:eastAsia="Calibri" w:hAnsi="Calibri Light" w:cs="Arial"/>
                                      <w:sz w:val="24"/>
                                      <w:szCs w:val="24"/>
                                      <w:lang w:val="en-US"/>
                                    </w:rPr>
                                    <w:t xml:space="preserve"> appropriate investigations to determine the patient’s fracture risk;</w:t>
                                  </w:r>
                                </w:p>
                              </w:tc>
                            </w:tr>
                            <w:tr w:rsidR="0056330E" w:rsidRPr="00A96C32" w14:paraId="18E8DB62" w14:textId="77777777" w:rsidTr="00A96C32">
                              <w:tc>
                                <w:tcPr>
                                  <w:cnfStyle w:val="001000000000" w:firstRow="0" w:lastRow="0" w:firstColumn="1" w:lastColumn="0" w:oddVBand="0" w:evenVBand="0" w:oddHBand="0" w:evenHBand="0" w:firstRowFirstColumn="0" w:firstRowLastColumn="0" w:lastRowFirstColumn="0" w:lastRowLastColumn="0"/>
                                  <w:tcW w:w="1473" w:type="dxa"/>
                                  <w:shd w:val="clear" w:color="auto" w:fill="E5DFEC"/>
                                  <w:vAlign w:val="center"/>
                                </w:tcPr>
                                <w:p w14:paraId="5510BE7F" w14:textId="77777777" w:rsidR="0056330E" w:rsidRPr="00A96C32" w:rsidRDefault="0056330E" w:rsidP="00A96C32">
                                  <w:pPr>
                                    <w:spacing w:after="120"/>
                                    <w:rPr>
                                      <w:rFonts w:ascii="Calibri Light" w:eastAsia="Calibri" w:hAnsi="Calibri Light" w:cs="Arial"/>
                                      <w:color w:val="000000"/>
                                      <w:sz w:val="24"/>
                                      <w:szCs w:val="24"/>
                                      <w:lang w:val="en-US"/>
                                    </w:rPr>
                                  </w:pPr>
                                  <w:r w:rsidRPr="00A96C32">
                                    <w:rPr>
                                      <w:rFonts w:ascii="Calibri Light" w:eastAsia="Calibri" w:hAnsi="Calibri Light" w:cs="Arial"/>
                                      <w:color w:val="000000"/>
                                      <w:sz w:val="24"/>
                                      <w:szCs w:val="24"/>
                                      <w:lang w:val="en-US"/>
                                    </w:rPr>
                                    <w:t>Initiation</w:t>
                                  </w:r>
                                </w:p>
                              </w:tc>
                              <w:tc>
                                <w:tcPr>
                                  <w:tcW w:w="7995" w:type="dxa"/>
                                  <w:shd w:val="clear" w:color="auto" w:fill="FFFFFF"/>
                                  <w:vAlign w:val="center"/>
                                </w:tcPr>
                                <w:p w14:paraId="7E68E367" w14:textId="77777777" w:rsidR="0056330E" w:rsidRPr="00A96C32" w:rsidRDefault="0056330E" w:rsidP="00A96C32">
                                  <w:pPr>
                                    <w:numPr>
                                      <w:ilvl w:val="0"/>
                                      <w:numId w:val="2"/>
                                    </w:numPr>
                                    <w:spacing w:after="120"/>
                                    <w:ind w:left="239" w:hanging="239"/>
                                    <w:contextualSpacing/>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24"/>
                                      <w:szCs w:val="24"/>
                                      <w:lang w:val="en-US"/>
                                    </w:rPr>
                                  </w:pPr>
                                  <w:r w:rsidRPr="00A96C32">
                                    <w:rPr>
                                      <w:rFonts w:ascii="Calibri Light" w:eastAsia="Calibri" w:hAnsi="Calibri Light" w:cs="Arial"/>
                                      <w:sz w:val="24"/>
                                      <w:szCs w:val="24"/>
                                      <w:lang w:val="en-US"/>
                                    </w:rPr>
                                    <w:t>facilitates the initiation of appropriate osteoporosis medications.</w:t>
                                  </w:r>
                                </w:p>
                              </w:tc>
                            </w:tr>
                          </w:tbl>
                          <w:p w14:paraId="383506E8" w14:textId="05D7406B" w:rsidR="0056330E" w:rsidRPr="00A96C32" w:rsidRDefault="0056330E" w:rsidP="00E2474E">
                            <w:pPr>
                              <w:spacing w:after="120" w:line="240" w:lineRule="auto"/>
                              <w:rPr>
                                <w:rFonts w:ascii="Calibri Light" w:eastAsia="Calibri" w:hAnsi="Calibri Light" w:cs="Arial"/>
                                <w:b/>
                                <w:lang w:val="en-US"/>
                              </w:rPr>
                            </w:pPr>
                            <w:r w:rsidRPr="00A96C32">
                              <w:rPr>
                                <w:rFonts w:ascii="Calibri Light" w:eastAsia="Calibri" w:hAnsi="Calibri Light" w:cs="Arial"/>
                                <w:sz w:val="24"/>
                                <w:szCs w:val="24"/>
                                <w:lang w:val="en-US"/>
                              </w:rPr>
                              <w:br/>
                            </w:r>
                            <w:r w:rsidRPr="00A96C32">
                              <w:rPr>
                                <w:rFonts w:ascii="Calibri Light" w:eastAsia="Calibri" w:hAnsi="Calibri Light" w:cs="Arial"/>
                                <w:b/>
                              </w:rPr>
                              <w:t>FLS has outperformed all other post-fracture osteoporosis interventions in terms of significant patient outcomes and reduction in healthcare costs</w:t>
                            </w:r>
                            <w:r>
                              <w:rPr>
                                <w:rFonts w:ascii="Calibri Light" w:eastAsia="Calibri" w:hAnsi="Calibri Light" w:cs="Arial"/>
                                <w:b/>
                                <w:color w:val="FF0000"/>
                                <w:vertAlign w:val="superscript"/>
                              </w:rPr>
                              <w:t>2,3</w:t>
                            </w:r>
                            <w:r w:rsidRPr="00A96C32">
                              <w:rPr>
                                <w:rFonts w:ascii="Calibri Light" w:eastAsia="Calibri" w:hAnsi="Calibri Light" w:cs="Arial"/>
                                <w:b/>
                              </w:rPr>
                              <w:t xml:space="preserve">.  </w:t>
                            </w:r>
                          </w:p>
                          <w:p w14:paraId="6556D6FC" w14:textId="77777777" w:rsidR="0056330E" w:rsidRDefault="0056330E" w:rsidP="00E2474E">
                            <w:proofErr w:type="spellStart"/>
                            <w:r>
                              <w:t>fddfdfd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16.05pt;margin-top:32.55pt;width:467.25pt;height:184.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" fillcolor="window" strokeweight=".5pt">
                <v:textbox>
                  <w:txbxContent>
                    <w:p w14:paraId="18353F9B" w14:textId="77777777" w:rsidR="0056330E" w:rsidRPr="00A96C32" w:rsidRDefault="0056330E" w:rsidP="00E2474E">
                      <w:pPr>
                        <w:spacing w:after="120" w:line="240" w:lineRule="auto"/>
                        <w:rPr>
                          <w:rFonts w:ascii="Calibri Light" w:eastAsia="Calibri" w:hAnsi="Calibri Light" w:cs="Arial"/>
                          <w:b/>
                          <w:sz w:val="24"/>
                          <w:szCs w:val="24"/>
                          <w:lang w:val="en-US"/>
                        </w:rPr>
                      </w:pPr>
                      <w:r w:rsidRPr="00A96C32">
                        <w:rPr>
                          <w:rFonts w:ascii="Calibri Light" w:eastAsia="Calibri" w:hAnsi="Calibri Light" w:cs="Arial"/>
                          <w:b/>
                          <w:sz w:val="24"/>
                          <w:szCs w:val="24"/>
                          <w:lang w:val="en-US"/>
                        </w:rPr>
                        <w:t>A Fracture Liaison Service (FLS) is a specific system</w:t>
                      </w:r>
                      <w:r>
                        <w:rPr>
                          <w:rFonts w:ascii="Calibri Light" w:eastAsia="Calibri" w:hAnsi="Calibri Light" w:cs="Arial"/>
                          <w:b/>
                          <w:sz w:val="24"/>
                          <w:szCs w:val="24"/>
                          <w:lang w:val="en-US"/>
                        </w:rPr>
                        <w:t>s</w:t>
                      </w:r>
                      <w:r w:rsidRPr="00A96C32">
                        <w:rPr>
                          <w:rFonts w:ascii="Calibri Light" w:eastAsia="Calibri" w:hAnsi="Calibri Light" w:cs="Arial"/>
                          <w:b/>
                          <w:sz w:val="24"/>
                          <w:szCs w:val="24"/>
                          <w:lang w:val="en-US"/>
                        </w:rPr>
                        <w:t>-based model of care for secondary fracture prevention where a dedicated coordinator:</w:t>
                      </w:r>
                    </w:p>
                    <w:tbl>
                      <w:tblPr>
                        <w:tblStyle w:val="MediumGrid1-Accent41"/>
                        <w:tblW w:w="0" w:type="auto"/>
                        <w:tblInd w:w="108" w:type="dxa"/>
                        <w:tblBorders>
                          <w:top w:val="none" w:sz="0" w:space="0" w:color="auto"/>
                          <w:left w:val="none" w:sz="0" w:space="0" w:color="auto"/>
                          <w:bottom w:val="none" w:sz="0" w:space="0" w:color="auto"/>
                          <w:right w:val="none" w:sz="0" w:space="0" w:color="auto"/>
                          <w:insideH w:val="single" w:sz="18" w:space="0" w:color="FFFFFF"/>
                          <w:insideV w:val="none" w:sz="0" w:space="0" w:color="auto"/>
                        </w:tblBorders>
                        <w:tblLook w:val="04A0" w:firstRow="1" w:lastRow="0" w:firstColumn="1" w:lastColumn="0" w:noHBand="0" w:noVBand="1"/>
                      </w:tblPr>
                      <w:tblGrid>
                        <w:gridCol w:w="1860"/>
                        <w:gridCol w:w="7294"/>
                      </w:tblGrid>
                      <w:tr w:rsidR="0056330E" w:rsidRPr="00A96C32" w14:paraId="65377DF0" w14:textId="77777777" w:rsidTr="00A96C32">
                        <w:trPr>
                          <w:cnfStyle w:val="100000000000" w:firstRow="1" w:lastRow="0" w:firstColumn="0" w:lastColumn="0" w:oddVBand="0" w:evenVBand="0" w:oddHBand="0"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1473" w:type="dxa"/>
                            <w:shd w:val="clear" w:color="auto" w:fill="E5DFEC"/>
                            <w:vAlign w:val="center"/>
                          </w:tcPr>
                          <w:p w14:paraId="4DD5D1FC" w14:textId="77777777" w:rsidR="0056330E" w:rsidRPr="00A96C32" w:rsidRDefault="0056330E" w:rsidP="00A96C32">
                            <w:pPr>
                              <w:spacing w:after="120"/>
                              <w:rPr>
                                <w:rFonts w:ascii="Calibri Light" w:eastAsia="Calibri" w:hAnsi="Calibri Light" w:cs="Arial"/>
                                <w:color w:val="000000"/>
                                <w:sz w:val="24"/>
                                <w:szCs w:val="24"/>
                                <w:lang w:val="en-US"/>
                              </w:rPr>
                            </w:pPr>
                            <w:r w:rsidRPr="00A96C32">
                              <w:rPr>
                                <w:rFonts w:ascii="Calibri Light" w:eastAsia="Calibri" w:hAnsi="Calibri Light" w:cs="Arial"/>
                                <w:color w:val="000000"/>
                                <w:sz w:val="24"/>
                                <w:szCs w:val="24"/>
                                <w:lang w:val="en-US"/>
                              </w:rPr>
                              <w:t>Identification</w:t>
                            </w:r>
                          </w:p>
                        </w:tc>
                        <w:tc>
                          <w:tcPr>
                            <w:tcW w:w="7995" w:type="dxa"/>
                            <w:shd w:val="clear" w:color="auto" w:fill="FFFFFF"/>
                            <w:vAlign w:val="center"/>
                          </w:tcPr>
                          <w:p w14:paraId="1EE57EA0" w14:textId="77777777" w:rsidR="0056330E" w:rsidRPr="00A96C32" w:rsidRDefault="0056330E" w:rsidP="00A96C32">
                            <w:pPr>
                              <w:numPr>
                                <w:ilvl w:val="0"/>
                                <w:numId w:val="2"/>
                              </w:numPr>
                              <w:spacing w:after="120"/>
                              <w:ind w:left="239" w:hanging="239"/>
                              <w:contextualSpacing/>
                              <w:cnfStyle w:val="100000000000" w:firstRow="1" w:lastRow="0" w:firstColumn="0" w:lastColumn="0" w:oddVBand="0" w:evenVBand="0" w:oddHBand="0" w:evenHBand="0" w:firstRowFirstColumn="0" w:firstRowLastColumn="0" w:lastRowFirstColumn="0" w:lastRowLastColumn="0"/>
                              <w:rPr>
                                <w:rFonts w:ascii="Calibri Light" w:eastAsia="Calibri" w:hAnsi="Calibri Light" w:cs="Arial"/>
                                <w:b w:val="0"/>
                                <w:sz w:val="24"/>
                                <w:szCs w:val="24"/>
                                <w:lang w:val="en-US"/>
                              </w:rPr>
                            </w:pPr>
                            <w:r w:rsidRPr="00A96C32">
                              <w:rPr>
                                <w:rFonts w:ascii="Calibri Light" w:eastAsia="Calibri" w:hAnsi="Calibri Light" w:cs="Arial"/>
                                <w:b w:val="0"/>
                                <w:sz w:val="24"/>
                                <w:szCs w:val="24"/>
                                <w:lang w:val="en-US"/>
                              </w:rPr>
                              <w:t>systematically and proactively identifies patients aged 50 years and older presenting to a hospital with a new fragility fracture and/or with a newly reported vertebral fracture;</w:t>
                            </w:r>
                          </w:p>
                        </w:tc>
                      </w:tr>
                      <w:tr w:rsidR="0056330E" w:rsidRPr="00A96C32" w14:paraId="69A40996" w14:textId="77777777" w:rsidTr="00A96C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 w:type="dxa"/>
                            <w:shd w:val="clear" w:color="auto" w:fill="E5DFEC"/>
                            <w:vAlign w:val="center"/>
                          </w:tcPr>
                          <w:p w14:paraId="1CE75AC6" w14:textId="77777777" w:rsidR="0056330E" w:rsidRPr="00A96C32" w:rsidRDefault="0056330E" w:rsidP="00A96C32">
                            <w:pPr>
                              <w:spacing w:after="120"/>
                              <w:rPr>
                                <w:rFonts w:ascii="Calibri Light" w:eastAsia="Calibri" w:hAnsi="Calibri Light" w:cs="Arial"/>
                                <w:color w:val="000000"/>
                                <w:sz w:val="24"/>
                                <w:szCs w:val="24"/>
                                <w:lang w:val="en-US"/>
                              </w:rPr>
                            </w:pPr>
                            <w:r w:rsidRPr="00A96C32">
                              <w:rPr>
                                <w:rFonts w:ascii="Calibri Light" w:eastAsia="Calibri" w:hAnsi="Calibri Light" w:cs="Arial"/>
                                <w:color w:val="000000"/>
                                <w:sz w:val="24"/>
                                <w:szCs w:val="24"/>
                                <w:lang w:val="en-US"/>
                              </w:rPr>
                              <w:t>Investigation</w:t>
                            </w:r>
                          </w:p>
                        </w:tc>
                        <w:tc>
                          <w:tcPr>
                            <w:tcW w:w="7995" w:type="dxa"/>
                            <w:shd w:val="clear" w:color="auto" w:fill="FFFFFF"/>
                            <w:vAlign w:val="center"/>
                          </w:tcPr>
                          <w:p w14:paraId="729217B2" w14:textId="77777777" w:rsidR="0056330E" w:rsidRPr="00A96C32" w:rsidRDefault="0056330E" w:rsidP="00A96C32">
                            <w:pPr>
                              <w:numPr>
                                <w:ilvl w:val="0"/>
                                <w:numId w:val="2"/>
                              </w:numPr>
                              <w:spacing w:after="120"/>
                              <w:ind w:left="239" w:hanging="239"/>
                              <w:contextualSpacing/>
                              <w:cnfStyle w:val="000000100000" w:firstRow="0" w:lastRow="0" w:firstColumn="0" w:lastColumn="0" w:oddVBand="0" w:evenVBand="0" w:oddHBand="1" w:evenHBand="0" w:firstRowFirstColumn="0" w:firstRowLastColumn="0" w:lastRowFirstColumn="0" w:lastRowLastColumn="0"/>
                              <w:rPr>
                                <w:rFonts w:ascii="Calibri Light" w:eastAsia="Calibri" w:hAnsi="Calibri Light" w:cs="Arial"/>
                                <w:sz w:val="24"/>
                                <w:szCs w:val="24"/>
                                <w:lang w:val="en-US"/>
                              </w:rPr>
                            </w:pPr>
                            <w:r w:rsidRPr="00A96C32">
                              <w:rPr>
                                <w:rFonts w:ascii="Calibri Light" w:eastAsia="Calibri" w:hAnsi="Calibri Light" w:cs="Arial"/>
                                <w:noProof/>
                                <w:sz w:val="24"/>
                                <w:szCs w:val="24"/>
                                <w:lang w:eastAsia="en-CA"/>
                              </w:rPr>
                              <w:t>organizes</w:t>
                            </w:r>
                            <w:r w:rsidRPr="00A96C32">
                              <w:rPr>
                                <w:rFonts w:ascii="Calibri Light" w:eastAsia="Calibri" w:hAnsi="Calibri Light" w:cs="Arial"/>
                                <w:sz w:val="24"/>
                                <w:szCs w:val="24"/>
                                <w:lang w:val="en-US"/>
                              </w:rPr>
                              <w:t xml:space="preserve"> appropriate investigations to determine the patient’s fracture risk;</w:t>
                            </w:r>
                          </w:p>
                        </w:tc>
                      </w:tr>
                      <w:tr w:rsidR="0056330E" w:rsidRPr="00A96C32" w14:paraId="18E8DB62" w14:textId="77777777" w:rsidTr="00A96C32">
                        <w:tc>
                          <w:tcPr>
                            <w:cnfStyle w:val="001000000000" w:firstRow="0" w:lastRow="0" w:firstColumn="1" w:lastColumn="0" w:oddVBand="0" w:evenVBand="0" w:oddHBand="0" w:evenHBand="0" w:firstRowFirstColumn="0" w:firstRowLastColumn="0" w:lastRowFirstColumn="0" w:lastRowLastColumn="0"/>
                            <w:tcW w:w="1473" w:type="dxa"/>
                            <w:shd w:val="clear" w:color="auto" w:fill="E5DFEC"/>
                            <w:vAlign w:val="center"/>
                          </w:tcPr>
                          <w:p w14:paraId="5510BE7F" w14:textId="77777777" w:rsidR="0056330E" w:rsidRPr="00A96C32" w:rsidRDefault="0056330E" w:rsidP="00A96C32">
                            <w:pPr>
                              <w:spacing w:after="120"/>
                              <w:rPr>
                                <w:rFonts w:ascii="Calibri Light" w:eastAsia="Calibri" w:hAnsi="Calibri Light" w:cs="Arial"/>
                                <w:color w:val="000000"/>
                                <w:sz w:val="24"/>
                                <w:szCs w:val="24"/>
                                <w:lang w:val="en-US"/>
                              </w:rPr>
                            </w:pPr>
                            <w:r w:rsidRPr="00A96C32">
                              <w:rPr>
                                <w:rFonts w:ascii="Calibri Light" w:eastAsia="Calibri" w:hAnsi="Calibri Light" w:cs="Arial"/>
                                <w:color w:val="000000"/>
                                <w:sz w:val="24"/>
                                <w:szCs w:val="24"/>
                                <w:lang w:val="en-US"/>
                              </w:rPr>
                              <w:t>Initiation</w:t>
                            </w:r>
                          </w:p>
                        </w:tc>
                        <w:tc>
                          <w:tcPr>
                            <w:tcW w:w="7995" w:type="dxa"/>
                            <w:shd w:val="clear" w:color="auto" w:fill="FFFFFF"/>
                            <w:vAlign w:val="center"/>
                          </w:tcPr>
                          <w:p w14:paraId="7E68E367" w14:textId="77777777" w:rsidR="0056330E" w:rsidRPr="00A96C32" w:rsidRDefault="0056330E" w:rsidP="00A96C32">
                            <w:pPr>
                              <w:numPr>
                                <w:ilvl w:val="0"/>
                                <w:numId w:val="2"/>
                              </w:numPr>
                              <w:spacing w:after="120"/>
                              <w:ind w:left="239" w:hanging="239"/>
                              <w:contextualSpacing/>
                              <w:cnfStyle w:val="000000000000" w:firstRow="0" w:lastRow="0" w:firstColumn="0" w:lastColumn="0" w:oddVBand="0" w:evenVBand="0" w:oddHBand="0" w:evenHBand="0" w:firstRowFirstColumn="0" w:firstRowLastColumn="0" w:lastRowFirstColumn="0" w:lastRowLastColumn="0"/>
                              <w:rPr>
                                <w:rFonts w:ascii="Calibri Light" w:eastAsia="Calibri" w:hAnsi="Calibri Light" w:cs="Arial"/>
                                <w:sz w:val="24"/>
                                <w:szCs w:val="24"/>
                                <w:lang w:val="en-US"/>
                              </w:rPr>
                            </w:pPr>
                            <w:r w:rsidRPr="00A96C32">
                              <w:rPr>
                                <w:rFonts w:ascii="Calibri Light" w:eastAsia="Calibri" w:hAnsi="Calibri Light" w:cs="Arial"/>
                                <w:sz w:val="24"/>
                                <w:szCs w:val="24"/>
                                <w:lang w:val="en-US"/>
                              </w:rPr>
                              <w:t>facilitates the initiation of appropriate osteoporosis medications.</w:t>
                            </w:r>
                          </w:p>
                        </w:tc>
                      </w:tr>
                    </w:tbl>
                    <w:p w14:paraId="383506E8" w14:textId="05D7406B" w:rsidR="0056330E" w:rsidRPr="00A96C32" w:rsidRDefault="0056330E" w:rsidP="00E2474E">
                      <w:pPr>
                        <w:spacing w:after="120" w:line="240" w:lineRule="auto"/>
                        <w:rPr>
                          <w:rFonts w:ascii="Calibri Light" w:eastAsia="Calibri" w:hAnsi="Calibri Light" w:cs="Arial"/>
                          <w:b/>
                          <w:lang w:val="en-US"/>
                        </w:rPr>
                      </w:pPr>
                      <w:r w:rsidRPr="00A96C32">
                        <w:rPr>
                          <w:rFonts w:ascii="Calibri Light" w:eastAsia="Calibri" w:hAnsi="Calibri Light" w:cs="Arial"/>
                          <w:sz w:val="24"/>
                          <w:szCs w:val="24"/>
                          <w:lang w:val="en-US"/>
                        </w:rPr>
                        <w:br/>
                      </w:r>
                      <w:r w:rsidRPr="00A96C32">
                        <w:rPr>
                          <w:rFonts w:ascii="Calibri Light" w:eastAsia="Calibri" w:hAnsi="Calibri Light" w:cs="Arial"/>
                          <w:b/>
                        </w:rPr>
                        <w:t>FLS has outperformed all other post-fracture osteoporosis interventions in terms of significant patient outcomes and reduction in healthcare costs</w:t>
                      </w:r>
                      <w:r>
                        <w:rPr>
                          <w:rFonts w:ascii="Calibri Light" w:eastAsia="Calibri" w:hAnsi="Calibri Light" w:cs="Arial"/>
                          <w:b/>
                          <w:color w:val="FF0000"/>
                          <w:vertAlign w:val="superscript"/>
                        </w:rPr>
                        <w:t>2,3</w:t>
                      </w:r>
                      <w:r w:rsidRPr="00A96C32">
                        <w:rPr>
                          <w:rFonts w:ascii="Calibri Light" w:eastAsia="Calibri" w:hAnsi="Calibri Light" w:cs="Arial"/>
                          <w:b/>
                        </w:rPr>
                        <w:t xml:space="preserve">.  </w:t>
                      </w:r>
                    </w:p>
                    <w:p w14:paraId="6556D6FC" w14:textId="77777777" w:rsidR="0056330E" w:rsidRDefault="0056330E" w:rsidP="00E2474E">
                      <w:proofErr w:type="spellStart"/>
                      <w:r>
                        <w:t>fddfdfd</w:t>
                      </w:r>
                      <w:proofErr w:type="spellEnd"/>
                    </w:p>
                  </w:txbxContent>
                </v:textbox>
                <w10:wrap anchorx="margin"/>
              </v:shape>
            </w:pict>
          </mc:Fallback>
        </mc:AlternateContent>
      </w:r>
      <w:r w:rsidR="004D4900">
        <w:t>B</w:t>
      </w:r>
      <w:r w:rsidR="00E2474E">
        <w:t>ox A</w:t>
      </w:r>
      <w:r w:rsidR="00477705">
        <w:br/>
      </w:r>
    </w:p>
    <w:p w14:paraId="57D85C66" w14:textId="27B2D8C0" w:rsidR="00E2474E" w:rsidRDefault="00477705">
      <w:r>
        <w:br/>
      </w:r>
    </w:p>
    <w:p w14:paraId="492405F8" w14:textId="280EAEC6" w:rsidR="00C56404" w:rsidRDefault="00C56404"/>
    <w:p w14:paraId="5653B686" w14:textId="77777777" w:rsidR="00C56404" w:rsidRDefault="00C56404"/>
    <w:p w14:paraId="225DA214" w14:textId="28652AFD" w:rsidR="00B10D8F" w:rsidRDefault="00B10D8F"/>
    <w:p w14:paraId="7D1F97C1" w14:textId="77777777" w:rsidR="00B10D8F" w:rsidRDefault="00B10D8F"/>
    <w:p w14:paraId="400DB3AF" w14:textId="77777777" w:rsidR="00B10D8F" w:rsidRDefault="00B10D8F"/>
    <w:p w14:paraId="68B3220E" w14:textId="77777777" w:rsidR="00B10D8F" w:rsidRDefault="00B10D8F"/>
    <w:p w14:paraId="3B2E58FD" w14:textId="77777777" w:rsidR="00B10D8F" w:rsidRDefault="00B10D8F"/>
    <w:p w14:paraId="7C18BCF2" w14:textId="77777777" w:rsidR="00B10D8F" w:rsidRDefault="00B10D8F"/>
    <w:p w14:paraId="5C15845A" w14:textId="77777777" w:rsidR="00B10D8F" w:rsidRDefault="00B10D8F"/>
    <w:p w14:paraId="40835506" w14:textId="77777777" w:rsidR="00B10D8F" w:rsidRDefault="00B10D8F"/>
    <w:p w14:paraId="0961A957" w14:textId="77777777" w:rsidR="00B10D8F" w:rsidRDefault="00B10D8F">
      <w:r>
        <w:t>References:</w:t>
      </w:r>
    </w:p>
    <w:p w14:paraId="539F94AA" w14:textId="77777777" w:rsidR="00E63614" w:rsidRPr="00E63614" w:rsidRDefault="00E63614" w:rsidP="00E63614">
      <w:pPr>
        <w:pStyle w:val="ListParagraph"/>
        <w:numPr>
          <w:ilvl w:val="0"/>
          <w:numId w:val="8"/>
        </w:numPr>
        <w:shd w:val="clear" w:color="auto" w:fill="FFFFFF"/>
        <w:spacing w:after="0"/>
        <w:rPr>
          <w:rFonts w:ascii="Arial" w:eastAsia="Arial" w:hAnsi="Arial" w:cs="Arial"/>
          <w:sz w:val="20"/>
          <w:szCs w:val="20"/>
        </w:rPr>
      </w:pPr>
      <w:r w:rsidRPr="00E63614">
        <w:rPr>
          <w:rFonts w:ascii="Arial" w:eastAsia="Arial" w:hAnsi="Arial" w:cs="Arial"/>
          <w:sz w:val="20"/>
          <w:szCs w:val="20"/>
        </w:rPr>
        <w:t xml:space="preserve">Sale JE, </w:t>
      </w:r>
      <w:r w:rsidR="00AC2C31">
        <w:rPr>
          <w:rFonts w:ascii="Arial" w:eastAsia="Arial" w:hAnsi="Arial" w:cs="Arial"/>
          <w:sz w:val="20"/>
          <w:szCs w:val="20"/>
        </w:rPr>
        <w:t>Beaton</w:t>
      </w:r>
      <w:r w:rsidR="00811B51">
        <w:rPr>
          <w:rFonts w:ascii="Arial" w:eastAsia="Arial" w:hAnsi="Arial" w:cs="Arial"/>
          <w:sz w:val="20"/>
          <w:szCs w:val="20"/>
        </w:rPr>
        <w:t xml:space="preserve"> D, Posen J, </w:t>
      </w:r>
      <w:r w:rsidRPr="00E63614">
        <w:rPr>
          <w:rFonts w:ascii="Arial" w:eastAsia="Arial" w:hAnsi="Arial" w:cs="Arial"/>
          <w:sz w:val="20"/>
          <w:szCs w:val="20"/>
        </w:rPr>
        <w:t xml:space="preserve">et al.  Systematic review on interventions to improve osteoporosis investigation and treatment in fragility fracture patients.  </w:t>
      </w:r>
      <w:proofErr w:type="spellStart"/>
      <w:r w:rsidRPr="00E63614">
        <w:rPr>
          <w:rFonts w:ascii="Arial" w:eastAsia="Arial" w:hAnsi="Arial" w:cs="Arial"/>
          <w:i/>
          <w:sz w:val="20"/>
          <w:szCs w:val="20"/>
        </w:rPr>
        <w:t>Osteoporos</w:t>
      </w:r>
      <w:proofErr w:type="spellEnd"/>
      <w:r w:rsidRPr="00E63614">
        <w:rPr>
          <w:rFonts w:ascii="Arial" w:eastAsia="Arial" w:hAnsi="Arial" w:cs="Arial"/>
          <w:i/>
          <w:sz w:val="20"/>
          <w:szCs w:val="20"/>
        </w:rPr>
        <w:t xml:space="preserve"> Int.</w:t>
      </w:r>
      <w:r w:rsidRPr="00E63614">
        <w:rPr>
          <w:rFonts w:ascii="Arial" w:eastAsia="Arial" w:hAnsi="Arial" w:cs="Arial"/>
          <w:sz w:val="20"/>
          <w:szCs w:val="20"/>
        </w:rPr>
        <w:t xml:space="preserve"> 2011</w:t>
      </w:r>
      <w:r>
        <w:rPr>
          <w:rFonts w:ascii="Arial" w:eastAsia="Arial" w:hAnsi="Arial" w:cs="Arial"/>
          <w:sz w:val="20"/>
          <w:szCs w:val="20"/>
        </w:rPr>
        <w:t>;22(7):2067-2082.</w:t>
      </w:r>
    </w:p>
    <w:p w14:paraId="2C170F35" w14:textId="77777777" w:rsidR="00B10D8F" w:rsidRPr="00F951AC" w:rsidRDefault="00E63614" w:rsidP="00B10D8F">
      <w:pPr>
        <w:pStyle w:val="ListParagraph"/>
        <w:numPr>
          <w:ilvl w:val="0"/>
          <w:numId w:val="8"/>
        </w:numPr>
        <w:shd w:val="clear" w:color="auto" w:fill="FFFFFF"/>
      </w:pPr>
      <w:r w:rsidRPr="00E63614">
        <w:rPr>
          <w:rFonts w:ascii="Arial" w:eastAsia="Arial" w:hAnsi="Arial" w:cs="Arial"/>
          <w:sz w:val="20"/>
          <w:szCs w:val="20"/>
        </w:rPr>
        <w:t xml:space="preserve">Ganda K, </w:t>
      </w:r>
      <w:r w:rsidR="00811B51">
        <w:rPr>
          <w:rFonts w:ascii="Arial" w:eastAsia="Arial" w:hAnsi="Arial" w:cs="Arial"/>
          <w:sz w:val="20"/>
          <w:szCs w:val="20"/>
        </w:rPr>
        <w:t xml:space="preserve">Puech M, Chen JS, </w:t>
      </w:r>
      <w:r w:rsidRPr="00E63614">
        <w:rPr>
          <w:rFonts w:ascii="Arial" w:eastAsia="Arial" w:hAnsi="Arial" w:cs="Arial"/>
          <w:sz w:val="20"/>
          <w:szCs w:val="20"/>
        </w:rPr>
        <w:t xml:space="preserve">et al. Models of care for the secondary prevention of osteoporotic fractures: a systematic review and meta-analysis.  </w:t>
      </w:r>
      <w:proofErr w:type="spellStart"/>
      <w:r w:rsidRPr="00E63614">
        <w:rPr>
          <w:rFonts w:ascii="Arial" w:eastAsia="Arial" w:hAnsi="Arial" w:cs="Arial"/>
          <w:i/>
          <w:sz w:val="20"/>
          <w:szCs w:val="20"/>
        </w:rPr>
        <w:t>Osteoporos</w:t>
      </w:r>
      <w:proofErr w:type="spellEnd"/>
      <w:r w:rsidRPr="00E63614">
        <w:rPr>
          <w:rFonts w:ascii="Arial" w:eastAsia="Arial" w:hAnsi="Arial" w:cs="Arial"/>
          <w:i/>
          <w:sz w:val="20"/>
          <w:szCs w:val="20"/>
        </w:rPr>
        <w:t xml:space="preserve"> Int.</w:t>
      </w:r>
      <w:r w:rsidRPr="00E63614">
        <w:rPr>
          <w:rFonts w:ascii="Arial" w:eastAsia="Arial" w:hAnsi="Arial" w:cs="Arial"/>
          <w:sz w:val="20"/>
          <w:szCs w:val="20"/>
        </w:rPr>
        <w:t xml:space="preserve"> 2012</w:t>
      </w:r>
      <w:r>
        <w:rPr>
          <w:rFonts w:ascii="Arial" w:eastAsia="Arial" w:hAnsi="Arial" w:cs="Arial"/>
          <w:sz w:val="20"/>
          <w:szCs w:val="20"/>
        </w:rPr>
        <w:t>;2013;24(2):393-406.</w:t>
      </w:r>
    </w:p>
    <w:sectPr w:rsidR="00B10D8F" w:rsidRPr="00F951AC">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B44E15" w15:done="0"/>
  <w15:commentEx w15:paraId="6D7D2E19" w15:done="0"/>
  <w15:commentEx w15:paraId="172DBE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B44E15" w16cid:durableId="1DECBC55"/>
  <w16cid:commentId w16cid:paraId="6D7D2E19" w16cid:durableId="1DECBD47"/>
  <w16cid:commentId w16cid:paraId="172DBE56" w16cid:durableId="1DECBD5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Calibri Light">
    <w:altName w:val="Tahoma"/>
    <w:charset w:val="00"/>
    <w:family w:val="swiss"/>
    <w:pitch w:val="variable"/>
    <w:sig w:usb0="E0002AFF" w:usb1="C000247B"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84926"/>
    <w:multiLevelType w:val="hybridMultilevel"/>
    <w:tmpl w:val="0DC6AC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6B06613"/>
    <w:multiLevelType w:val="hybridMultilevel"/>
    <w:tmpl w:val="68E0E2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D43138B"/>
    <w:multiLevelType w:val="hybridMultilevel"/>
    <w:tmpl w:val="CE7E6F44"/>
    <w:lvl w:ilvl="0" w:tplc="CD1E92B8">
      <w:numFmt w:val="bullet"/>
      <w:lvlText w:val="-"/>
      <w:lvlJc w:val="left"/>
      <w:pPr>
        <w:ind w:left="765" w:hanging="360"/>
      </w:pPr>
      <w:rPr>
        <w:rFonts w:ascii="Calibri" w:eastAsiaTheme="minorHAnsi" w:hAnsi="Calibri" w:cs="Calibri"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
    <w:nsid w:val="3A3E105A"/>
    <w:multiLevelType w:val="hybridMultilevel"/>
    <w:tmpl w:val="2344569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34E3927"/>
    <w:multiLevelType w:val="hybridMultilevel"/>
    <w:tmpl w:val="3986318A"/>
    <w:lvl w:ilvl="0" w:tplc="CD1E92B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50C24AB"/>
    <w:multiLevelType w:val="hybridMultilevel"/>
    <w:tmpl w:val="E7BEE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EE902EC"/>
    <w:multiLevelType w:val="hybridMultilevel"/>
    <w:tmpl w:val="E2BC05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E55749F"/>
    <w:multiLevelType w:val="hybridMultilevel"/>
    <w:tmpl w:val="9170FE8E"/>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7"/>
  </w:num>
  <w:num w:numId="7">
    <w:abstractNumId w:val="0"/>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ne">
    <w15:presenceInfo w15:providerId="None" w15:userId="Di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AC"/>
    <w:rsid w:val="00004B3A"/>
    <w:rsid w:val="00013540"/>
    <w:rsid w:val="0002535D"/>
    <w:rsid w:val="00072FC5"/>
    <w:rsid w:val="000A69CC"/>
    <w:rsid w:val="001063F5"/>
    <w:rsid w:val="00125534"/>
    <w:rsid w:val="00145D61"/>
    <w:rsid w:val="00150F59"/>
    <w:rsid w:val="001636BD"/>
    <w:rsid w:val="00165560"/>
    <w:rsid w:val="001C0DD7"/>
    <w:rsid w:val="001C42DA"/>
    <w:rsid w:val="001D3654"/>
    <w:rsid w:val="001F5BCF"/>
    <w:rsid w:val="00244D96"/>
    <w:rsid w:val="00245D13"/>
    <w:rsid w:val="0029123D"/>
    <w:rsid w:val="002C644D"/>
    <w:rsid w:val="002F7D36"/>
    <w:rsid w:val="00311BBE"/>
    <w:rsid w:val="003217B4"/>
    <w:rsid w:val="00322E9E"/>
    <w:rsid w:val="003B3CBA"/>
    <w:rsid w:val="003C02BC"/>
    <w:rsid w:val="003C42D4"/>
    <w:rsid w:val="003D34DF"/>
    <w:rsid w:val="003F73B0"/>
    <w:rsid w:val="003F7BE7"/>
    <w:rsid w:val="00425310"/>
    <w:rsid w:val="00445DE3"/>
    <w:rsid w:val="00451AA1"/>
    <w:rsid w:val="00477705"/>
    <w:rsid w:val="004A1F73"/>
    <w:rsid w:val="004A2720"/>
    <w:rsid w:val="004B512F"/>
    <w:rsid w:val="004D4900"/>
    <w:rsid w:val="00525D81"/>
    <w:rsid w:val="0056330E"/>
    <w:rsid w:val="00577D9E"/>
    <w:rsid w:val="005A0824"/>
    <w:rsid w:val="005B18F0"/>
    <w:rsid w:val="005C12A8"/>
    <w:rsid w:val="005D4DA3"/>
    <w:rsid w:val="005F25A2"/>
    <w:rsid w:val="005F44C8"/>
    <w:rsid w:val="00634F78"/>
    <w:rsid w:val="006D582B"/>
    <w:rsid w:val="006F47AD"/>
    <w:rsid w:val="00743DCE"/>
    <w:rsid w:val="00771081"/>
    <w:rsid w:val="007C1CC4"/>
    <w:rsid w:val="007D2B6A"/>
    <w:rsid w:val="00811B51"/>
    <w:rsid w:val="00823ED5"/>
    <w:rsid w:val="00830952"/>
    <w:rsid w:val="00863234"/>
    <w:rsid w:val="008A5BBF"/>
    <w:rsid w:val="008B5B00"/>
    <w:rsid w:val="008D23DD"/>
    <w:rsid w:val="00927220"/>
    <w:rsid w:val="00932537"/>
    <w:rsid w:val="0097139A"/>
    <w:rsid w:val="0097633D"/>
    <w:rsid w:val="009B5BF7"/>
    <w:rsid w:val="009C7D2D"/>
    <w:rsid w:val="00A15831"/>
    <w:rsid w:val="00A63B82"/>
    <w:rsid w:val="00A92123"/>
    <w:rsid w:val="00A96C32"/>
    <w:rsid w:val="00AA6446"/>
    <w:rsid w:val="00AB4FDB"/>
    <w:rsid w:val="00AC2C31"/>
    <w:rsid w:val="00B01D23"/>
    <w:rsid w:val="00B10D8F"/>
    <w:rsid w:val="00B37DBD"/>
    <w:rsid w:val="00B532EE"/>
    <w:rsid w:val="00BD0265"/>
    <w:rsid w:val="00C16791"/>
    <w:rsid w:val="00C35E78"/>
    <w:rsid w:val="00C5607B"/>
    <w:rsid w:val="00C56404"/>
    <w:rsid w:val="00C77137"/>
    <w:rsid w:val="00C97406"/>
    <w:rsid w:val="00CA7626"/>
    <w:rsid w:val="00CD64CB"/>
    <w:rsid w:val="00CD7240"/>
    <w:rsid w:val="00CE3E33"/>
    <w:rsid w:val="00CF51CD"/>
    <w:rsid w:val="00D7778B"/>
    <w:rsid w:val="00D85426"/>
    <w:rsid w:val="00D861E0"/>
    <w:rsid w:val="00DF59E2"/>
    <w:rsid w:val="00E11653"/>
    <w:rsid w:val="00E2474E"/>
    <w:rsid w:val="00E63614"/>
    <w:rsid w:val="00E93C21"/>
    <w:rsid w:val="00EB0D2C"/>
    <w:rsid w:val="00EC03F9"/>
    <w:rsid w:val="00EE1507"/>
    <w:rsid w:val="00F04B45"/>
    <w:rsid w:val="00F22935"/>
    <w:rsid w:val="00F52B73"/>
    <w:rsid w:val="00F951AC"/>
    <w:rsid w:val="00FD5C4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CB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220"/>
    <w:rPr>
      <w:color w:val="0563C1" w:themeColor="hyperlink"/>
      <w:u w:val="single"/>
    </w:rPr>
  </w:style>
  <w:style w:type="character" w:customStyle="1" w:styleId="UnresolvedMention">
    <w:name w:val="Unresolved Mention"/>
    <w:basedOn w:val="DefaultParagraphFont"/>
    <w:uiPriority w:val="99"/>
    <w:semiHidden/>
    <w:unhideWhenUsed/>
    <w:rsid w:val="00927220"/>
    <w:rPr>
      <w:color w:val="808080"/>
      <w:shd w:val="clear" w:color="auto" w:fill="E6E6E6"/>
    </w:rPr>
  </w:style>
  <w:style w:type="paragraph" w:styleId="ListParagraph">
    <w:name w:val="List Paragraph"/>
    <w:basedOn w:val="Normal"/>
    <w:uiPriority w:val="34"/>
    <w:qFormat/>
    <w:rsid w:val="00A92123"/>
    <w:pPr>
      <w:ind w:left="720"/>
      <w:contextualSpacing/>
    </w:pPr>
  </w:style>
  <w:style w:type="paragraph" w:customStyle="1" w:styleId="Default">
    <w:name w:val="Default"/>
    <w:rsid w:val="00AA6446"/>
    <w:pPr>
      <w:autoSpaceDE w:val="0"/>
      <w:autoSpaceDN w:val="0"/>
      <w:adjustRightInd w:val="0"/>
      <w:spacing w:after="0" w:line="240" w:lineRule="auto"/>
    </w:pPr>
    <w:rPr>
      <w:rFonts w:ascii="Calibri" w:hAnsi="Calibri" w:cs="Calibri"/>
      <w:color w:val="000000"/>
      <w:sz w:val="24"/>
      <w:szCs w:val="24"/>
    </w:rPr>
  </w:style>
  <w:style w:type="character" w:customStyle="1" w:styleId="A2">
    <w:name w:val="A2"/>
    <w:uiPriority w:val="99"/>
    <w:rsid w:val="00AA6446"/>
    <w:rPr>
      <w:b/>
      <w:bCs/>
      <w:color w:val="211D1E"/>
      <w:sz w:val="26"/>
      <w:szCs w:val="26"/>
    </w:rPr>
  </w:style>
  <w:style w:type="paragraph" w:customStyle="1" w:styleId="Pa3">
    <w:name w:val="Pa3"/>
    <w:basedOn w:val="Default"/>
    <w:next w:val="Default"/>
    <w:uiPriority w:val="99"/>
    <w:rsid w:val="00AA6446"/>
    <w:pPr>
      <w:spacing w:line="220" w:lineRule="atLeast"/>
    </w:pPr>
    <w:rPr>
      <w:color w:val="auto"/>
    </w:rPr>
  </w:style>
  <w:style w:type="character" w:customStyle="1" w:styleId="A3">
    <w:name w:val="A3"/>
    <w:uiPriority w:val="99"/>
    <w:rsid w:val="00AA6446"/>
    <w:rPr>
      <w:b/>
      <w:bCs/>
      <w:color w:val="211D1E"/>
      <w:sz w:val="22"/>
      <w:szCs w:val="22"/>
    </w:rPr>
  </w:style>
  <w:style w:type="table" w:customStyle="1" w:styleId="MediumGrid1-Accent41">
    <w:name w:val="Medium Grid 1 - Accent 41"/>
    <w:basedOn w:val="TableNormal"/>
    <w:next w:val="MediumGrid1-Accent4"/>
    <w:uiPriority w:val="67"/>
    <w:rsid w:val="00A96C32"/>
    <w:pPr>
      <w:spacing w:after="0" w:line="240" w:lineRule="auto"/>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4">
    <w:name w:val="Medium Grid 1 Accent 4"/>
    <w:basedOn w:val="TableNormal"/>
    <w:uiPriority w:val="67"/>
    <w:semiHidden/>
    <w:unhideWhenUsed/>
    <w:rsid w:val="00A96C32"/>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character" w:styleId="CommentReference">
    <w:name w:val="annotation reference"/>
    <w:basedOn w:val="DefaultParagraphFont"/>
    <w:uiPriority w:val="99"/>
    <w:semiHidden/>
    <w:unhideWhenUsed/>
    <w:rsid w:val="00A15831"/>
    <w:rPr>
      <w:sz w:val="16"/>
      <w:szCs w:val="16"/>
    </w:rPr>
  </w:style>
  <w:style w:type="paragraph" w:styleId="CommentText">
    <w:name w:val="annotation text"/>
    <w:basedOn w:val="Normal"/>
    <w:link w:val="CommentTextChar"/>
    <w:uiPriority w:val="99"/>
    <w:semiHidden/>
    <w:unhideWhenUsed/>
    <w:rsid w:val="00A15831"/>
    <w:pPr>
      <w:spacing w:line="240" w:lineRule="auto"/>
    </w:pPr>
    <w:rPr>
      <w:sz w:val="20"/>
      <w:szCs w:val="20"/>
    </w:rPr>
  </w:style>
  <w:style w:type="character" w:customStyle="1" w:styleId="CommentTextChar">
    <w:name w:val="Comment Text Char"/>
    <w:basedOn w:val="DefaultParagraphFont"/>
    <w:link w:val="CommentText"/>
    <w:uiPriority w:val="99"/>
    <w:semiHidden/>
    <w:rsid w:val="00A15831"/>
    <w:rPr>
      <w:sz w:val="20"/>
      <w:szCs w:val="20"/>
    </w:rPr>
  </w:style>
  <w:style w:type="paragraph" w:styleId="CommentSubject">
    <w:name w:val="annotation subject"/>
    <w:basedOn w:val="CommentText"/>
    <w:next w:val="CommentText"/>
    <w:link w:val="CommentSubjectChar"/>
    <w:uiPriority w:val="99"/>
    <w:semiHidden/>
    <w:unhideWhenUsed/>
    <w:rsid w:val="00A15831"/>
    <w:rPr>
      <w:b/>
      <w:bCs/>
    </w:rPr>
  </w:style>
  <w:style w:type="character" w:customStyle="1" w:styleId="CommentSubjectChar">
    <w:name w:val="Comment Subject Char"/>
    <w:basedOn w:val="CommentTextChar"/>
    <w:link w:val="CommentSubject"/>
    <w:uiPriority w:val="99"/>
    <w:semiHidden/>
    <w:rsid w:val="00A15831"/>
    <w:rPr>
      <w:b/>
      <w:bCs/>
      <w:sz w:val="20"/>
      <w:szCs w:val="20"/>
    </w:rPr>
  </w:style>
  <w:style w:type="paragraph" w:styleId="BalloonText">
    <w:name w:val="Balloon Text"/>
    <w:basedOn w:val="Normal"/>
    <w:link w:val="BalloonTextChar"/>
    <w:uiPriority w:val="99"/>
    <w:semiHidden/>
    <w:unhideWhenUsed/>
    <w:rsid w:val="00A15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831"/>
    <w:rPr>
      <w:rFonts w:ascii="Segoe UI" w:hAnsi="Segoe UI" w:cs="Segoe UI"/>
      <w:sz w:val="18"/>
      <w:szCs w:val="18"/>
    </w:rPr>
  </w:style>
  <w:style w:type="character" w:styleId="FollowedHyperlink">
    <w:name w:val="FollowedHyperlink"/>
    <w:basedOn w:val="DefaultParagraphFont"/>
    <w:uiPriority w:val="99"/>
    <w:semiHidden/>
    <w:unhideWhenUsed/>
    <w:rsid w:val="0056330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220"/>
    <w:rPr>
      <w:color w:val="0563C1" w:themeColor="hyperlink"/>
      <w:u w:val="single"/>
    </w:rPr>
  </w:style>
  <w:style w:type="character" w:customStyle="1" w:styleId="UnresolvedMention">
    <w:name w:val="Unresolved Mention"/>
    <w:basedOn w:val="DefaultParagraphFont"/>
    <w:uiPriority w:val="99"/>
    <w:semiHidden/>
    <w:unhideWhenUsed/>
    <w:rsid w:val="00927220"/>
    <w:rPr>
      <w:color w:val="808080"/>
      <w:shd w:val="clear" w:color="auto" w:fill="E6E6E6"/>
    </w:rPr>
  </w:style>
  <w:style w:type="paragraph" w:styleId="ListParagraph">
    <w:name w:val="List Paragraph"/>
    <w:basedOn w:val="Normal"/>
    <w:uiPriority w:val="34"/>
    <w:qFormat/>
    <w:rsid w:val="00A92123"/>
    <w:pPr>
      <w:ind w:left="720"/>
      <w:contextualSpacing/>
    </w:pPr>
  </w:style>
  <w:style w:type="paragraph" w:customStyle="1" w:styleId="Default">
    <w:name w:val="Default"/>
    <w:rsid w:val="00AA6446"/>
    <w:pPr>
      <w:autoSpaceDE w:val="0"/>
      <w:autoSpaceDN w:val="0"/>
      <w:adjustRightInd w:val="0"/>
      <w:spacing w:after="0" w:line="240" w:lineRule="auto"/>
    </w:pPr>
    <w:rPr>
      <w:rFonts w:ascii="Calibri" w:hAnsi="Calibri" w:cs="Calibri"/>
      <w:color w:val="000000"/>
      <w:sz w:val="24"/>
      <w:szCs w:val="24"/>
    </w:rPr>
  </w:style>
  <w:style w:type="character" w:customStyle="1" w:styleId="A2">
    <w:name w:val="A2"/>
    <w:uiPriority w:val="99"/>
    <w:rsid w:val="00AA6446"/>
    <w:rPr>
      <w:b/>
      <w:bCs/>
      <w:color w:val="211D1E"/>
      <w:sz w:val="26"/>
      <w:szCs w:val="26"/>
    </w:rPr>
  </w:style>
  <w:style w:type="paragraph" w:customStyle="1" w:styleId="Pa3">
    <w:name w:val="Pa3"/>
    <w:basedOn w:val="Default"/>
    <w:next w:val="Default"/>
    <w:uiPriority w:val="99"/>
    <w:rsid w:val="00AA6446"/>
    <w:pPr>
      <w:spacing w:line="220" w:lineRule="atLeast"/>
    </w:pPr>
    <w:rPr>
      <w:color w:val="auto"/>
    </w:rPr>
  </w:style>
  <w:style w:type="character" w:customStyle="1" w:styleId="A3">
    <w:name w:val="A3"/>
    <w:uiPriority w:val="99"/>
    <w:rsid w:val="00AA6446"/>
    <w:rPr>
      <w:b/>
      <w:bCs/>
      <w:color w:val="211D1E"/>
      <w:sz w:val="22"/>
      <w:szCs w:val="22"/>
    </w:rPr>
  </w:style>
  <w:style w:type="table" w:customStyle="1" w:styleId="MediumGrid1-Accent41">
    <w:name w:val="Medium Grid 1 - Accent 41"/>
    <w:basedOn w:val="TableNormal"/>
    <w:next w:val="MediumGrid1-Accent4"/>
    <w:uiPriority w:val="67"/>
    <w:rsid w:val="00A96C32"/>
    <w:pPr>
      <w:spacing w:after="0" w:line="240" w:lineRule="auto"/>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4">
    <w:name w:val="Medium Grid 1 Accent 4"/>
    <w:basedOn w:val="TableNormal"/>
    <w:uiPriority w:val="67"/>
    <w:semiHidden/>
    <w:unhideWhenUsed/>
    <w:rsid w:val="00A96C32"/>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character" w:styleId="CommentReference">
    <w:name w:val="annotation reference"/>
    <w:basedOn w:val="DefaultParagraphFont"/>
    <w:uiPriority w:val="99"/>
    <w:semiHidden/>
    <w:unhideWhenUsed/>
    <w:rsid w:val="00A15831"/>
    <w:rPr>
      <w:sz w:val="16"/>
      <w:szCs w:val="16"/>
    </w:rPr>
  </w:style>
  <w:style w:type="paragraph" w:styleId="CommentText">
    <w:name w:val="annotation text"/>
    <w:basedOn w:val="Normal"/>
    <w:link w:val="CommentTextChar"/>
    <w:uiPriority w:val="99"/>
    <w:semiHidden/>
    <w:unhideWhenUsed/>
    <w:rsid w:val="00A15831"/>
    <w:pPr>
      <w:spacing w:line="240" w:lineRule="auto"/>
    </w:pPr>
    <w:rPr>
      <w:sz w:val="20"/>
      <w:szCs w:val="20"/>
    </w:rPr>
  </w:style>
  <w:style w:type="character" w:customStyle="1" w:styleId="CommentTextChar">
    <w:name w:val="Comment Text Char"/>
    <w:basedOn w:val="DefaultParagraphFont"/>
    <w:link w:val="CommentText"/>
    <w:uiPriority w:val="99"/>
    <w:semiHidden/>
    <w:rsid w:val="00A15831"/>
    <w:rPr>
      <w:sz w:val="20"/>
      <w:szCs w:val="20"/>
    </w:rPr>
  </w:style>
  <w:style w:type="paragraph" w:styleId="CommentSubject">
    <w:name w:val="annotation subject"/>
    <w:basedOn w:val="CommentText"/>
    <w:next w:val="CommentText"/>
    <w:link w:val="CommentSubjectChar"/>
    <w:uiPriority w:val="99"/>
    <w:semiHidden/>
    <w:unhideWhenUsed/>
    <w:rsid w:val="00A15831"/>
    <w:rPr>
      <w:b/>
      <w:bCs/>
    </w:rPr>
  </w:style>
  <w:style w:type="character" w:customStyle="1" w:styleId="CommentSubjectChar">
    <w:name w:val="Comment Subject Char"/>
    <w:basedOn w:val="CommentTextChar"/>
    <w:link w:val="CommentSubject"/>
    <w:uiPriority w:val="99"/>
    <w:semiHidden/>
    <w:rsid w:val="00A15831"/>
    <w:rPr>
      <w:b/>
      <w:bCs/>
      <w:sz w:val="20"/>
      <w:szCs w:val="20"/>
    </w:rPr>
  </w:style>
  <w:style w:type="paragraph" w:styleId="BalloonText">
    <w:name w:val="Balloon Text"/>
    <w:basedOn w:val="Normal"/>
    <w:link w:val="BalloonTextChar"/>
    <w:uiPriority w:val="99"/>
    <w:semiHidden/>
    <w:unhideWhenUsed/>
    <w:rsid w:val="00A15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831"/>
    <w:rPr>
      <w:rFonts w:ascii="Segoe UI" w:hAnsi="Segoe UI" w:cs="Segoe UI"/>
      <w:sz w:val="18"/>
      <w:szCs w:val="18"/>
    </w:rPr>
  </w:style>
  <w:style w:type="character" w:styleId="FollowedHyperlink">
    <w:name w:val="FollowedHyperlink"/>
    <w:basedOn w:val="DefaultParagraphFont"/>
    <w:uiPriority w:val="99"/>
    <w:semiHidden/>
    <w:unhideWhenUsed/>
    <w:rsid w:val="005633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osteoporosis.ca/wp-content/uploads/FLS-TOOLKIT.pdf" TargetMode="External"/><Relationship Id="rId20" Type="http://schemas.microsoft.com/office/2011/relationships/commentsExtended" Target="commentsExtended.xml"/><Relationship Id="rId21" Type="http://schemas.microsoft.com/office/2016/09/relationships/commentsIds" Target="commentsIds.xml"/><Relationship Id="rId10" Type="http://schemas.openxmlformats.org/officeDocument/2006/relationships/hyperlink" Target="http://fls.osteoporosis.ca/wp-content/uploads/Osteoporosis-Canada-Essential-Elements-of-an-FLS.pdf" TargetMode="External"/><Relationship Id="rId11" Type="http://schemas.openxmlformats.org/officeDocument/2006/relationships/hyperlink" Target="http://fls.osteoporosis.ca/canadian-fls-registry/" TargetMode="External"/><Relationship Id="rId12" Type="http://schemas.openxmlformats.org/officeDocument/2006/relationships/hyperlink" Target="http://fls.osteoporosis.ca/indicator/" TargetMode="External"/><Relationship Id="rId13" Type="http://schemas.openxmlformats.org/officeDocument/2006/relationships/hyperlink" Target="http://www.osteoporosis.ca/wp-content/uploads/Final-Quality-Standards-March-2015-English.pdf" TargetMode="External"/><Relationship Id="rId14" Type="http://schemas.openxmlformats.org/officeDocument/2006/relationships/hyperlink" Target="http://fls.osteoporosis.ca/fls-tools-and-resources-old/fls-webinars/" TargetMode="External"/><Relationship Id="rId15" Type="http://schemas.openxmlformats.org/officeDocument/2006/relationships/hyperlink" Target="http://fls.osteoporosis.ca/join-the-fls-network/" TargetMode="External"/><Relationship Id="rId16" Type="http://schemas.openxmlformats.org/officeDocument/2006/relationships/hyperlink" Target="http://fls.osteoporosis.ca/canadian-fls-registry/" TargetMode="Externa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fls.osteoporosis.ca/wp-content/uploads/white-paper-march-2011.pdf" TargetMode="External"/><Relationship Id="rId8" Type="http://schemas.openxmlformats.org/officeDocument/2006/relationships/hyperlink" Target="http://www.osteoporosis.ca/f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FEB23-638C-E142-A951-4B54D8D83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1404</Words>
  <Characters>8008</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Joshua Davidson</cp:lastModifiedBy>
  <cp:revision>3</cp:revision>
  <cp:lastPrinted>2018-01-02T06:43:00Z</cp:lastPrinted>
  <dcterms:created xsi:type="dcterms:W3CDTF">2018-01-02T06:43:00Z</dcterms:created>
  <dcterms:modified xsi:type="dcterms:W3CDTF">2018-01-02T22:21:00Z</dcterms:modified>
</cp:coreProperties>
</file>